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BC232" w14:textId="5A7476E9" w:rsidR="005C39EB" w:rsidRPr="004E5475" w:rsidRDefault="005C39EB" w:rsidP="00A724DB">
      <w:pPr>
        <w:ind w:left="-142"/>
        <w:rPr>
          <w:b/>
          <w:sz w:val="28"/>
        </w:rPr>
      </w:pPr>
      <w:r>
        <w:rPr>
          <w:b/>
          <w:sz w:val="28"/>
        </w:rPr>
        <w:t xml:space="preserve">Table 1 – </w:t>
      </w:r>
      <w:r w:rsidRPr="004E5475">
        <w:rPr>
          <w:b/>
          <w:sz w:val="28"/>
        </w:rPr>
        <w:t>Cabinet response to</w:t>
      </w:r>
      <w:r w:rsidR="00B85C09">
        <w:rPr>
          <w:b/>
          <w:sz w:val="28"/>
        </w:rPr>
        <w:t xml:space="preserve"> the list of Scrutiny</w:t>
      </w:r>
      <w:r w:rsidRPr="004E5475">
        <w:rPr>
          <w:b/>
          <w:sz w:val="28"/>
        </w:rPr>
        <w:t xml:space="preserve"> recommendations </w:t>
      </w:r>
      <w:r w:rsidR="00A724DB">
        <w:rPr>
          <w:b/>
          <w:sz w:val="28"/>
        </w:rPr>
        <w:t>in</w:t>
      </w:r>
      <w:r w:rsidR="002F0648">
        <w:rPr>
          <w:b/>
          <w:sz w:val="28"/>
        </w:rPr>
        <w:t xml:space="preserve"> April 2025</w:t>
      </w:r>
    </w:p>
    <w:p w14:paraId="1336A92B" w14:textId="77777777" w:rsidR="002139C0" w:rsidRPr="004453C2" w:rsidRDefault="002139C0" w:rsidP="005D6B6B">
      <w:pPr>
        <w:rPr>
          <w:rFonts w:cs="Arial"/>
        </w:rPr>
      </w:pPr>
    </w:p>
    <w:p w14:paraId="08AD65C0" w14:textId="3DEE290C" w:rsidR="0041511D" w:rsidRPr="004453C2" w:rsidRDefault="002139C0" w:rsidP="00422FED">
      <w:pPr>
        <w:rPr>
          <w:rFonts w:cs="Arial"/>
        </w:rPr>
      </w:pPr>
      <w:r w:rsidRPr="004453C2">
        <w:rPr>
          <w:rFonts w:cs="Arial"/>
        </w:rPr>
        <w:t xml:space="preserve">The table below sets out the response of the Cabinet Member to recommendations made or endorsed by the Scrutiny Committee during its meeting on </w:t>
      </w:r>
      <w:r w:rsidR="004F04AB" w:rsidRPr="004453C2">
        <w:rPr>
          <w:rFonts w:cs="Arial"/>
        </w:rPr>
        <w:t>26 March</w:t>
      </w:r>
      <w:r w:rsidRPr="004453C2">
        <w:rPr>
          <w:rFonts w:cs="Arial"/>
        </w:rPr>
        <w:t xml:space="preserve"> 2025. </w:t>
      </w:r>
    </w:p>
    <w:p w14:paraId="505D4110" w14:textId="77777777" w:rsidR="009B2118" w:rsidRPr="004453C2" w:rsidRDefault="009B2118" w:rsidP="00422FED">
      <w:pPr>
        <w:rPr>
          <w:rFonts w:cs="Arial"/>
        </w:rPr>
      </w:pPr>
    </w:p>
    <w:p w14:paraId="1E1A2CE5" w14:textId="05C4F58F" w:rsidR="0041511D" w:rsidRPr="004453C2" w:rsidRDefault="007549EF" w:rsidP="00422FED">
      <w:pPr>
        <w:rPr>
          <w:rFonts w:cs="Arial"/>
        </w:rPr>
      </w:pPr>
      <w:r w:rsidRPr="004453C2">
        <w:rPr>
          <w:rFonts w:cs="Arial"/>
          <w:b/>
          <w:bCs/>
        </w:rPr>
        <w:t>Anti-Social Behaviour Update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41511D" w:rsidRPr="004453C2" w14:paraId="52C351A1" w14:textId="77777777" w:rsidTr="00EB20A3">
        <w:trPr>
          <w:trHeight w:val="300"/>
        </w:trPr>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91C50" w14:textId="77777777" w:rsidR="0041511D" w:rsidRPr="004453C2" w:rsidRDefault="0041511D" w:rsidP="00EB20A3">
            <w:pPr>
              <w:rPr>
                <w:rFonts w:cs="Arial"/>
                <w:b/>
                <w:i/>
              </w:rPr>
            </w:pPr>
            <w:r w:rsidRPr="004453C2">
              <w:rPr>
                <w:rFonts w:cs="Arial"/>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02212" w14:textId="77777777" w:rsidR="0041511D" w:rsidRPr="004453C2" w:rsidRDefault="0041511D" w:rsidP="00EB20A3">
            <w:pPr>
              <w:jc w:val="center"/>
              <w:rPr>
                <w:rFonts w:cs="Arial"/>
                <w:b/>
                <w:bCs/>
                <w:i/>
                <w:iCs/>
              </w:rPr>
            </w:pPr>
            <w:r w:rsidRPr="004453C2">
              <w:rPr>
                <w:rFonts w:cs="Arial"/>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7F3DD" w14:textId="77777777" w:rsidR="0041511D" w:rsidRPr="004453C2" w:rsidRDefault="0041511D" w:rsidP="00EB20A3">
            <w:pPr>
              <w:rPr>
                <w:rFonts w:cs="Arial"/>
                <w:b/>
                <w:i/>
              </w:rPr>
            </w:pPr>
            <w:r w:rsidRPr="004453C2">
              <w:rPr>
                <w:rFonts w:cs="Arial"/>
                <w:b/>
                <w:i/>
              </w:rPr>
              <w:t>Comment</w:t>
            </w:r>
          </w:p>
        </w:tc>
      </w:tr>
      <w:tr w:rsidR="0041511D" w:rsidRPr="004453C2" w14:paraId="1FE9245F" w14:textId="77777777" w:rsidTr="00EB20A3">
        <w:trPr>
          <w:trHeight w:val="1060"/>
        </w:trPr>
        <w:tc>
          <w:tcPr>
            <w:tcW w:w="6629" w:type="dxa"/>
            <w:tcBorders>
              <w:top w:val="single" w:sz="4" w:space="0" w:color="auto"/>
              <w:left w:val="single" w:sz="4" w:space="0" w:color="auto"/>
              <w:bottom w:val="single" w:sz="4" w:space="0" w:color="auto"/>
              <w:right w:val="single" w:sz="4" w:space="0" w:color="auto"/>
            </w:tcBorders>
          </w:tcPr>
          <w:p w14:paraId="2A1F8081" w14:textId="77777777" w:rsidR="0041511D" w:rsidRPr="004453C2" w:rsidRDefault="0041511D" w:rsidP="00EB20A3">
            <w:pPr>
              <w:pStyle w:val="ListParagraph"/>
              <w:numPr>
                <w:ilvl w:val="0"/>
                <w:numId w:val="1"/>
              </w:numPr>
              <w:tabs>
                <w:tab w:val="left" w:pos="720"/>
              </w:tabs>
              <w:spacing w:after="160" w:line="252" w:lineRule="auto"/>
              <w:rPr>
                <w:rFonts w:cs="Arial"/>
                <w:color w:val="auto"/>
                <w:lang w:eastAsia="en-US"/>
              </w:rPr>
            </w:pPr>
            <w:r w:rsidRPr="004453C2">
              <w:rPr>
                <w:rFonts w:cs="Arial"/>
                <w:color w:val="auto"/>
                <w:lang w:eastAsia="en-US"/>
              </w:rPr>
              <w:t xml:space="preserve">That the Anti-Social Behaviour Policy incorporate a clause referencing the principles of 'Safe by Design' in public </w:t>
            </w:r>
            <w:proofErr w:type="gramStart"/>
            <w:r w:rsidRPr="004453C2">
              <w:rPr>
                <w:rFonts w:cs="Arial"/>
                <w:color w:val="auto"/>
                <w:lang w:eastAsia="en-US"/>
              </w:rPr>
              <w:t>spaces, and</w:t>
            </w:r>
            <w:proofErr w:type="gramEnd"/>
            <w:r w:rsidRPr="004453C2">
              <w:rPr>
                <w:rFonts w:cs="Arial"/>
                <w:color w:val="auto"/>
                <w:lang w:eastAsia="en-US"/>
              </w:rPr>
              <w:t xml:space="preserve"> ensure its application in the planning of new public spaces and redesign of existing locations identified as hotpots for anti-social behaviour.</w:t>
            </w:r>
          </w:p>
        </w:tc>
        <w:tc>
          <w:tcPr>
            <w:tcW w:w="1134" w:type="dxa"/>
            <w:tcBorders>
              <w:top w:val="single" w:sz="4" w:space="0" w:color="auto"/>
              <w:left w:val="single" w:sz="4" w:space="0" w:color="auto"/>
              <w:bottom w:val="single" w:sz="4" w:space="0" w:color="auto"/>
              <w:right w:val="single" w:sz="4" w:space="0" w:color="auto"/>
            </w:tcBorders>
          </w:tcPr>
          <w:p w14:paraId="1591A7BD" w14:textId="77777777" w:rsidR="0041511D" w:rsidRPr="000F3AE1" w:rsidRDefault="0041511D" w:rsidP="00EB20A3">
            <w:pPr>
              <w:spacing w:line="259" w:lineRule="auto"/>
              <w:rPr>
                <w:rFonts w:cs="Arial"/>
              </w:rPr>
            </w:pPr>
            <w:r w:rsidRPr="000F3AE1">
              <w:rPr>
                <w:rFonts w:cs="Arial"/>
              </w:rPr>
              <w:t>Yes</w:t>
            </w:r>
          </w:p>
        </w:tc>
        <w:tc>
          <w:tcPr>
            <w:tcW w:w="6520" w:type="dxa"/>
            <w:tcBorders>
              <w:top w:val="single" w:sz="4" w:space="0" w:color="auto"/>
              <w:left w:val="single" w:sz="4" w:space="0" w:color="auto"/>
              <w:bottom w:val="single" w:sz="4" w:space="0" w:color="auto"/>
              <w:right w:val="single" w:sz="4" w:space="0" w:color="auto"/>
            </w:tcBorders>
          </w:tcPr>
          <w:p w14:paraId="0FDCAD18" w14:textId="77777777" w:rsidR="0041511D" w:rsidRPr="004453C2" w:rsidRDefault="0041511D" w:rsidP="00EB20A3">
            <w:pPr>
              <w:spacing w:line="259" w:lineRule="auto"/>
              <w:rPr>
                <w:rFonts w:cs="Arial"/>
              </w:rPr>
            </w:pPr>
            <w:r w:rsidRPr="004453C2">
              <w:rPr>
                <w:rFonts w:cs="Arial"/>
              </w:rPr>
              <w:t xml:space="preserve">The policy can include a principle of designing out the opportunities for crime and anti-social </w:t>
            </w:r>
            <w:proofErr w:type="gramStart"/>
            <w:r w:rsidRPr="004453C2">
              <w:rPr>
                <w:rFonts w:cs="Arial"/>
              </w:rPr>
              <w:t>behaviour, and</w:t>
            </w:r>
            <w:proofErr w:type="gramEnd"/>
            <w:r w:rsidRPr="004453C2">
              <w:rPr>
                <w:rFonts w:cs="Arial"/>
              </w:rPr>
              <w:t xml:space="preserve"> working retrospectively in locations that are of greater concern. The Oxford Local Plan, paragraph 6.11 sets out the Secure </w:t>
            </w:r>
            <w:proofErr w:type="gramStart"/>
            <w:r w:rsidRPr="004453C2">
              <w:rPr>
                <w:rFonts w:cs="Arial"/>
              </w:rPr>
              <w:t>By</w:t>
            </w:r>
            <w:proofErr w:type="gramEnd"/>
            <w:r w:rsidRPr="004453C2">
              <w:rPr>
                <w:rFonts w:cs="Arial"/>
              </w:rPr>
              <w:t xml:space="preserve"> Design expectations for new developments.</w:t>
            </w:r>
          </w:p>
        </w:tc>
      </w:tr>
      <w:tr w:rsidR="0041511D" w:rsidRPr="004453C2" w14:paraId="21F98976" w14:textId="77777777" w:rsidTr="00EB20A3">
        <w:trPr>
          <w:trHeight w:val="1060"/>
        </w:trPr>
        <w:tc>
          <w:tcPr>
            <w:tcW w:w="6629" w:type="dxa"/>
            <w:tcBorders>
              <w:top w:val="single" w:sz="4" w:space="0" w:color="auto"/>
              <w:left w:val="single" w:sz="4" w:space="0" w:color="auto"/>
              <w:bottom w:val="single" w:sz="4" w:space="0" w:color="auto"/>
              <w:right w:val="single" w:sz="4" w:space="0" w:color="auto"/>
            </w:tcBorders>
          </w:tcPr>
          <w:p w14:paraId="4E252242" w14:textId="77777777" w:rsidR="0041511D" w:rsidRPr="004453C2" w:rsidRDefault="0041511D" w:rsidP="00EB20A3">
            <w:pPr>
              <w:pStyle w:val="ListParagraph"/>
              <w:numPr>
                <w:ilvl w:val="0"/>
                <w:numId w:val="1"/>
              </w:numPr>
              <w:tabs>
                <w:tab w:val="left" w:pos="426"/>
                <w:tab w:val="left" w:pos="720"/>
              </w:tabs>
              <w:spacing w:after="160" w:line="252" w:lineRule="auto"/>
              <w:rPr>
                <w:rFonts w:cs="Arial"/>
              </w:rPr>
            </w:pPr>
            <w:r w:rsidRPr="004453C2">
              <w:rPr>
                <w:rFonts w:cs="Arial"/>
              </w:rPr>
              <w:t>That Council explore approaches to pavement parking as a form of ASB, for example identifying any multi-agency approaches to combat such problems trialled in designated areas by other local authorities, and assess the feasibility of implementing similar measures locally, noting the potential need for cross-agency collaboration in enforcement and policy development.</w:t>
            </w:r>
          </w:p>
        </w:tc>
        <w:tc>
          <w:tcPr>
            <w:tcW w:w="1134" w:type="dxa"/>
            <w:tcBorders>
              <w:top w:val="single" w:sz="4" w:space="0" w:color="auto"/>
              <w:left w:val="single" w:sz="4" w:space="0" w:color="auto"/>
              <w:bottom w:val="single" w:sz="4" w:space="0" w:color="auto"/>
              <w:right w:val="single" w:sz="4" w:space="0" w:color="auto"/>
            </w:tcBorders>
          </w:tcPr>
          <w:p w14:paraId="01A01E57" w14:textId="77777777" w:rsidR="0041511D" w:rsidRPr="000F3AE1" w:rsidRDefault="0041511D" w:rsidP="00EB20A3">
            <w:pPr>
              <w:rPr>
                <w:rFonts w:cs="Arial"/>
              </w:rPr>
            </w:pPr>
            <w:r w:rsidRPr="000F3AE1">
              <w:rPr>
                <w:rFonts w:cs="Arial"/>
              </w:rPr>
              <w:t>Partially</w:t>
            </w:r>
          </w:p>
        </w:tc>
        <w:tc>
          <w:tcPr>
            <w:tcW w:w="6520" w:type="dxa"/>
            <w:tcBorders>
              <w:top w:val="single" w:sz="4" w:space="0" w:color="auto"/>
              <w:left w:val="single" w:sz="4" w:space="0" w:color="auto"/>
              <w:bottom w:val="single" w:sz="4" w:space="0" w:color="auto"/>
              <w:right w:val="single" w:sz="4" w:space="0" w:color="auto"/>
            </w:tcBorders>
          </w:tcPr>
          <w:p w14:paraId="76B89358" w14:textId="77777777" w:rsidR="0041511D" w:rsidRPr="004453C2" w:rsidRDefault="0041511D" w:rsidP="00EB20A3">
            <w:pPr>
              <w:rPr>
                <w:rFonts w:cs="Arial"/>
              </w:rPr>
            </w:pPr>
            <w:r w:rsidRPr="004453C2">
              <w:rPr>
                <w:rFonts w:cs="Arial"/>
              </w:rPr>
              <w:t>The Council are not the lead agency on highways enforcement issues but will work with the County Council, Thames Valley Police and other partners at their behest where the issue of pavement parking persists. Pavement parking will not fall under the definition of ASB in the new policy.</w:t>
            </w:r>
          </w:p>
        </w:tc>
      </w:tr>
    </w:tbl>
    <w:p w14:paraId="7D1B47DC" w14:textId="77777777" w:rsidR="0041511D" w:rsidRPr="004453C2" w:rsidRDefault="0041511D" w:rsidP="0041511D">
      <w:pPr>
        <w:rPr>
          <w:rFonts w:eastAsia="Arial" w:cs="Arial"/>
        </w:rPr>
      </w:pPr>
    </w:p>
    <w:p w14:paraId="20F73FDC" w14:textId="77777777" w:rsidR="00EA62CA" w:rsidRPr="004453C2" w:rsidRDefault="005206D5" w:rsidP="00422FED">
      <w:pPr>
        <w:rPr>
          <w:rFonts w:cs="Arial"/>
          <w:b/>
          <w:u w:val="single"/>
        </w:rPr>
      </w:pPr>
      <w:r w:rsidRPr="004453C2">
        <w:rPr>
          <w:rFonts w:cs="Arial"/>
          <w:b/>
        </w:rPr>
        <w:t>Urgent Key Decisions End-of-Year Update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EA62CA" w:rsidRPr="004453C2" w14:paraId="6CC59B5F" w14:textId="77777777" w:rsidTr="00EB20A3">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9A8EC" w14:textId="77777777" w:rsidR="00EA62CA" w:rsidRPr="004453C2" w:rsidRDefault="00EA62CA" w:rsidP="00EB20A3">
            <w:pPr>
              <w:rPr>
                <w:rFonts w:cs="Arial"/>
                <w:b/>
                <w:i/>
              </w:rPr>
            </w:pPr>
            <w:r w:rsidRPr="004453C2">
              <w:rPr>
                <w:rFonts w:cs="Arial"/>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242F2" w14:textId="77777777" w:rsidR="00EA62CA" w:rsidRPr="004453C2" w:rsidRDefault="00EA62CA" w:rsidP="00EB20A3">
            <w:pPr>
              <w:rPr>
                <w:rFonts w:cs="Arial"/>
                <w:b/>
                <w:bCs/>
                <w:i/>
                <w:iCs/>
              </w:rPr>
            </w:pPr>
            <w:r w:rsidRPr="004453C2">
              <w:rPr>
                <w:rFonts w:cs="Arial"/>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F1640" w14:textId="77777777" w:rsidR="00EA62CA" w:rsidRPr="004453C2" w:rsidRDefault="00EA62CA" w:rsidP="00EB20A3">
            <w:pPr>
              <w:rPr>
                <w:rFonts w:cs="Arial"/>
                <w:b/>
                <w:i/>
              </w:rPr>
            </w:pPr>
            <w:r w:rsidRPr="004453C2">
              <w:rPr>
                <w:rFonts w:cs="Arial"/>
                <w:b/>
                <w:i/>
              </w:rPr>
              <w:t>Comment</w:t>
            </w:r>
          </w:p>
        </w:tc>
      </w:tr>
      <w:tr w:rsidR="00EA62CA" w:rsidRPr="004453C2" w14:paraId="35C95EB8" w14:textId="77777777" w:rsidTr="00EB20A3">
        <w:trPr>
          <w:trHeight w:val="300"/>
        </w:trPr>
        <w:tc>
          <w:tcPr>
            <w:tcW w:w="6629" w:type="dxa"/>
            <w:tcBorders>
              <w:top w:val="single" w:sz="4" w:space="0" w:color="auto"/>
              <w:left w:val="single" w:sz="4" w:space="0" w:color="auto"/>
              <w:bottom w:val="single" w:sz="4" w:space="0" w:color="auto"/>
              <w:right w:val="single" w:sz="4" w:space="0" w:color="auto"/>
            </w:tcBorders>
          </w:tcPr>
          <w:p w14:paraId="73E66ABE" w14:textId="77777777" w:rsidR="00EA62CA" w:rsidRPr="004453C2" w:rsidRDefault="00EA62CA" w:rsidP="00EA62CA">
            <w:pPr>
              <w:pStyle w:val="ListParagraph"/>
              <w:numPr>
                <w:ilvl w:val="0"/>
                <w:numId w:val="2"/>
              </w:numPr>
              <w:tabs>
                <w:tab w:val="left" w:pos="720"/>
              </w:tabs>
              <w:spacing w:after="160" w:line="252" w:lineRule="auto"/>
              <w:rPr>
                <w:rFonts w:cs="Arial"/>
                <w:color w:val="auto"/>
                <w:lang w:eastAsia="en-US"/>
              </w:rPr>
            </w:pPr>
            <w:r w:rsidRPr="004453C2">
              <w:rPr>
                <w:rFonts w:cs="Arial"/>
                <w:color w:val="auto"/>
                <w:lang w:eastAsia="en-US"/>
              </w:rPr>
              <w:t xml:space="preserve">That an end-of-year summary update on Urgent Key Decisions is provided to the Scrutiny Committee, at the discretion of the Scrutiny Chair, in the next municipal year, enabling the Committee to assess whether the mitigations implemented have effectively addressed the </w:t>
            </w:r>
            <w:r w:rsidRPr="004453C2">
              <w:rPr>
                <w:rFonts w:cs="Arial"/>
                <w:color w:val="auto"/>
                <w:lang w:eastAsia="en-US"/>
              </w:rPr>
              <w:lastRenderedPageBreak/>
              <w:t>high frequency of these decisions.</w:t>
            </w:r>
          </w:p>
        </w:tc>
        <w:tc>
          <w:tcPr>
            <w:tcW w:w="1134" w:type="dxa"/>
            <w:tcBorders>
              <w:top w:val="single" w:sz="4" w:space="0" w:color="auto"/>
              <w:left w:val="single" w:sz="4" w:space="0" w:color="auto"/>
              <w:bottom w:val="single" w:sz="4" w:space="0" w:color="auto"/>
              <w:right w:val="single" w:sz="4" w:space="0" w:color="auto"/>
            </w:tcBorders>
          </w:tcPr>
          <w:p w14:paraId="6999F621" w14:textId="77777777" w:rsidR="00EA62CA" w:rsidRPr="004453C2" w:rsidRDefault="00EA62CA" w:rsidP="00EB20A3">
            <w:pPr>
              <w:rPr>
                <w:rFonts w:cs="Arial"/>
              </w:rPr>
            </w:pPr>
          </w:p>
        </w:tc>
        <w:tc>
          <w:tcPr>
            <w:tcW w:w="6520" w:type="dxa"/>
            <w:tcBorders>
              <w:top w:val="single" w:sz="4" w:space="0" w:color="auto"/>
              <w:left w:val="single" w:sz="4" w:space="0" w:color="auto"/>
              <w:bottom w:val="single" w:sz="4" w:space="0" w:color="auto"/>
              <w:right w:val="single" w:sz="4" w:space="0" w:color="auto"/>
            </w:tcBorders>
          </w:tcPr>
          <w:p w14:paraId="52843A9C" w14:textId="77777777" w:rsidR="00EA62CA" w:rsidRPr="004453C2" w:rsidRDefault="00EA62CA" w:rsidP="00EB20A3">
            <w:pPr>
              <w:spacing w:after="0"/>
              <w:rPr>
                <w:rFonts w:eastAsia="Arial" w:cs="Arial"/>
              </w:rPr>
            </w:pPr>
            <w:r w:rsidRPr="004453C2">
              <w:rPr>
                <w:rFonts w:eastAsia="Arial" w:cs="Arial"/>
              </w:rPr>
              <w:t xml:space="preserve">The Chair of the Scrutiny Committee is always consulted on all urgent key decisions and will be told why it is deemed that the decision can’t be taken with either 28-day notice and/or a 2-day call-in period. We will liaise with the Chair next year to confirm if a report would be required, </w:t>
            </w:r>
            <w:r w:rsidRPr="004453C2">
              <w:rPr>
                <w:rFonts w:eastAsia="Arial" w:cs="Arial"/>
              </w:rPr>
              <w:lastRenderedPageBreak/>
              <w:t>subject to a reduction of urgent key decisions taken. As per the Constitution, all urgent key decisions are reported to full Council at the meeting after the decision has been taken.</w:t>
            </w:r>
          </w:p>
        </w:tc>
      </w:tr>
    </w:tbl>
    <w:p w14:paraId="09438FD7" w14:textId="77777777" w:rsidR="00EA62CA" w:rsidRPr="004453C2" w:rsidRDefault="00EA62CA" w:rsidP="00EA62CA">
      <w:pPr>
        <w:rPr>
          <w:rFonts w:eastAsia="Arial" w:cs="Arial"/>
        </w:rPr>
      </w:pPr>
    </w:p>
    <w:p w14:paraId="5AE0847D" w14:textId="2898BBDD" w:rsidR="0041511D" w:rsidRPr="004453C2" w:rsidRDefault="00FE121A" w:rsidP="00422FED">
      <w:pPr>
        <w:rPr>
          <w:rFonts w:cs="Arial"/>
          <w:b/>
        </w:rPr>
      </w:pPr>
      <w:r w:rsidRPr="004453C2">
        <w:rPr>
          <w:rFonts w:cs="Arial"/>
          <w:b/>
        </w:rPr>
        <w:t>Energy Efficiency Update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C36CDF" w:rsidRPr="004453C2" w14:paraId="526463F9" w14:textId="77777777" w:rsidTr="00EB20A3">
        <w:trPr>
          <w:trHeight w:val="300"/>
        </w:trPr>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B9D35" w14:textId="77777777" w:rsidR="00C36CDF" w:rsidRPr="004453C2" w:rsidRDefault="00C36CDF" w:rsidP="00EB20A3">
            <w:pPr>
              <w:rPr>
                <w:rFonts w:cs="Arial"/>
                <w:b/>
                <w:i/>
              </w:rPr>
            </w:pPr>
            <w:r w:rsidRPr="004453C2">
              <w:rPr>
                <w:rFonts w:cs="Arial"/>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AB932" w14:textId="77777777" w:rsidR="00C36CDF" w:rsidRPr="004453C2" w:rsidRDefault="00C36CDF" w:rsidP="00EB20A3">
            <w:pPr>
              <w:jc w:val="center"/>
              <w:rPr>
                <w:rFonts w:cs="Arial"/>
                <w:b/>
                <w:bCs/>
                <w:i/>
                <w:iCs/>
              </w:rPr>
            </w:pPr>
            <w:r w:rsidRPr="004453C2">
              <w:rPr>
                <w:rFonts w:cs="Arial"/>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F7CD2" w14:textId="77777777" w:rsidR="00C36CDF" w:rsidRPr="004453C2" w:rsidRDefault="00C36CDF" w:rsidP="00EB20A3">
            <w:pPr>
              <w:rPr>
                <w:rFonts w:cs="Arial"/>
                <w:b/>
                <w:i/>
              </w:rPr>
            </w:pPr>
            <w:r w:rsidRPr="004453C2">
              <w:rPr>
                <w:rFonts w:cs="Arial"/>
                <w:b/>
                <w:i/>
              </w:rPr>
              <w:t>Comment</w:t>
            </w:r>
          </w:p>
        </w:tc>
      </w:tr>
      <w:tr w:rsidR="00C36CDF" w:rsidRPr="004453C2" w14:paraId="37C8ED4B" w14:textId="77777777" w:rsidTr="00EB20A3">
        <w:trPr>
          <w:trHeight w:val="1060"/>
        </w:trPr>
        <w:tc>
          <w:tcPr>
            <w:tcW w:w="6629" w:type="dxa"/>
            <w:tcBorders>
              <w:top w:val="single" w:sz="4" w:space="0" w:color="auto"/>
              <w:left w:val="single" w:sz="4" w:space="0" w:color="auto"/>
              <w:bottom w:val="single" w:sz="4" w:space="0" w:color="auto"/>
              <w:right w:val="single" w:sz="4" w:space="0" w:color="auto"/>
            </w:tcBorders>
          </w:tcPr>
          <w:p w14:paraId="705C1F92" w14:textId="543DF7BF" w:rsidR="00C36CDF" w:rsidRPr="004453C2" w:rsidRDefault="00C36CDF" w:rsidP="00FB3BF2">
            <w:pPr>
              <w:pStyle w:val="ListParagraph"/>
              <w:numPr>
                <w:ilvl w:val="0"/>
                <w:numId w:val="13"/>
              </w:numPr>
              <w:tabs>
                <w:tab w:val="left" w:pos="720"/>
              </w:tabs>
              <w:spacing w:after="160" w:line="252" w:lineRule="auto"/>
              <w:rPr>
                <w:rFonts w:cs="Arial"/>
                <w:color w:val="auto"/>
                <w:lang w:eastAsia="en-US"/>
              </w:rPr>
            </w:pPr>
            <w:r w:rsidRPr="004453C2">
              <w:rPr>
                <w:rFonts w:cs="Arial"/>
                <w:color w:val="auto"/>
                <w:lang w:eastAsia="en-US"/>
              </w:rPr>
              <w:t>A brief assessment of the heat mapping exercise as part of the District Heating Network across the city of Oxford, and to confirm when the data would be available.</w:t>
            </w:r>
          </w:p>
        </w:tc>
        <w:tc>
          <w:tcPr>
            <w:tcW w:w="1134" w:type="dxa"/>
            <w:tcBorders>
              <w:top w:val="single" w:sz="4" w:space="0" w:color="auto"/>
              <w:left w:val="single" w:sz="4" w:space="0" w:color="auto"/>
              <w:bottom w:val="single" w:sz="4" w:space="0" w:color="auto"/>
              <w:right w:val="single" w:sz="4" w:space="0" w:color="auto"/>
            </w:tcBorders>
          </w:tcPr>
          <w:p w14:paraId="19341542" w14:textId="77777777" w:rsidR="00C36CDF" w:rsidRPr="000F3AE1" w:rsidRDefault="00C36CDF" w:rsidP="00EB20A3">
            <w:pPr>
              <w:spacing w:line="259" w:lineRule="auto"/>
              <w:rPr>
                <w:rFonts w:cs="Arial"/>
              </w:rPr>
            </w:pPr>
            <w:r w:rsidRPr="000F3AE1">
              <w:rPr>
                <w:rFonts w:cs="Arial"/>
              </w:rPr>
              <w:t>Yes</w:t>
            </w:r>
          </w:p>
        </w:tc>
        <w:tc>
          <w:tcPr>
            <w:tcW w:w="6520" w:type="dxa"/>
            <w:tcBorders>
              <w:top w:val="single" w:sz="4" w:space="0" w:color="auto"/>
              <w:left w:val="single" w:sz="4" w:space="0" w:color="auto"/>
              <w:bottom w:val="single" w:sz="4" w:space="0" w:color="auto"/>
              <w:right w:val="single" w:sz="4" w:space="0" w:color="auto"/>
            </w:tcBorders>
          </w:tcPr>
          <w:p w14:paraId="5B02854D" w14:textId="77777777" w:rsidR="00567F48" w:rsidRPr="004453C2" w:rsidRDefault="00567F48" w:rsidP="00EB20A3">
            <w:pPr>
              <w:spacing w:line="259" w:lineRule="auto"/>
              <w:rPr>
                <w:rFonts w:cs="Arial"/>
              </w:rPr>
            </w:pPr>
            <w:r w:rsidRPr="004453C2">
              <w:rPr>
                <w:rFonts w:cs="Arial"/>
              </w:rPr>
              <w:t>Heat Mapping is a key part of both the District Heat Network (DHN and Local Energy Area Planning (LAEP) projects.</w:t>
            </w:r>
          </w:p>
          <w:p w14:paraId="73A00AD1" w14:textId="77777777" w:rsidR="00567F48" w:rsidRPr="004453C2" w:rsidRDefault="00567F48" w:rsidP="00EB20A3">
            <w:pPr>
              <w:spacing w:line="259" w:lineRule="auto"/>
              <w:rPr>
                <w:rFonts w:cs="Arial"/>
              </w:rPr>
            </w:pPr>
            <w:r w:rsidRPr="004453C2">
              <w:rPr>
                <w:rFonts w:cs="Arial"/>
              </w:rPr>
              <w:t>The mapping will assess current and future heat demand and supply, including where a district heat network could provide the lowest cost solution for decarbonised heat.</w:t>
            </w:r>
          </w:p>
          <w:p w14:paraId="7E204A22" w14:textId="2080433C" w:rsidR="00C36CDF" w:rsidRPr="004453C2" w:rsidRDefault="00567F48" w:rsidP="00EB20A3">
            <w:pPr>
              <w:spacing w:line="259" w:lineRule="auto"/>
              <w:rPr>
                <w:rFonts w:cs="Arial"/>
              </w:rPr>
            </w:pPr>
            <w:r w:rsidRPr="004453C2">
              <w:rPr>
                <w:rFonts w:cs="Arial"/>
              </w:rPr>
              <w:t>This exercise should be completed during 2025.</w:t>
            </w:r>
          </w:p>
        </w:tc>
      </w:tr>
      <w:tr w:rsidR="00C36CDF" w:rsidRPr="004453C2" w14:paraId="625BB6CB" w14:textId="77777777" w:rsidTr="00EB20A3">
        <w:trPr>
          <w:trHeight w:val="1060"/>
        </w:trPr>
        <w:tc>
          <w:tcPr>
            <w:tcW w:w="6629" w:type="dxa"/>
            <w:tcBorders>
              <w:top w:val="single" w:sz="4" w:space="0" w:color="auto"/>
              <w:left w:val="single" w:sz="4" w:space="0" w:color="auto"/>
              <w:bottom w:val="single" w:sz="4" w:space="0" w:color="auto"/>
              <w:right w:val="single" w:sz="4" w:space="0" w:color="auto"/>
            </w:tcBorders>
          </w:tcPr>
          <w:p w14:paraId="3244224D" w14:textId="16F44BE5" w:rsidR="00C36CDF" w:rsidRPr="004453C2" w:rsidRDefault="00FB3BF2" w:rsidP="00FB3BF2">
            <w:pPr>
              <w:pStyle w:val="ListParagraph"/>
              <w:numPr>
                <w:ilvl w:val="0"/>
                <w:numId w:val="13"/>
              </w:numPr>
              <w:tabs>
                <w:tab w:val="left" w:pos="426"/>
                <w:tab w:val="left" w:pos="720"/>
              </w:tabs>
              <w:spacing w:after="160" w:line="252" w:lineRule="auto"/>
              <w:rPr>
                <w:rFonts w:cs="Arial"/>
              </w:rPr>
            </w:pPr>
            <w:r w:rsidRPr="004453C2">
              <w:rPr>
                <w:rFonts w:cs="Arial"/>
              </w:rPr>
              <w:t>Explore the properties in Oxford that have already installed air source heat pumps (</w:t>
            </w:r>
            <w:proofErr w:type="spellStart"/>
            <w:r w:rsidRPr="004453C2">
              <w:rPr>
                <w:rFonts w:cs="Arial"/>
              </w:rPr>
              <w:t>i.e</w:t>
            </w:r>
            <w:proofErr w:type="spellEnd"/>
            <w:r w:rsidRPr="004453C2">
              <w:rPr>
                <w:rFonts w:cs="Arial"/>
              </w:rPr>
              <w:t xml:space="preserve"> commercial properties, private landlords, private properties).</w:t>
            </w:r>
          </w:p>
        </w:tc>
        <w:tc>
          <w:tcPr>
            <w:tcW w:w="1134" w:type="dxa"/>
            <w:tcBorders>
              <w:top w:val="single" w:sz="4" w:space="0" w:color="auto"/>
              <w:left w:val="single" w:sz="4" w:space="0" w:color="auto"/>
              <w:bottom w:val="single" w:sz="4" w:space="0" w:color="auto"/>
              <w:right w:val="single" w:sz="4" w:space="0" w:color="auto"/>
            </w:tcBorders>
          </w:tcPr>
          <w:p w14:paraId="7AE4A575" w14:textId="74D2C6F5" w:rsidR="00C36CDF" w:rsidRPr="000F3AE1" w:rsidRDefault="00FB3BF2" w:rsidP="00EB20A3">
            <w:pPr>
              <w:rPr>
                <w:rFonts w:cs="Arial"/>
              </w:rPr>
            </w:pPr>
            <w:r w:rsidRPr="000F3AE1">
              <w:rPr>
                <w:rFonts w:cs="Arial"/>
              </w:rPr>
              <w:t>In Part</w:t>
            </w:r>
          </w:p>
        </w:tc>
        <w:tc>
          <w:tcPr>
            <w:tcW w:w="6520" w:type="dxa"/>
            <w:tcBorders>
              <w:top w:val="single" w:sz="4" w:space="0" w:color="auto"/>
              <w:left w:val="single" w:sz="4" w:space="0" w:color="auto"/>
              <w:bottom w:val="single" w:sz="4" w:space="0" w:color="auto"/>
              <w:right w:val="single" w:sz="4" w:space="0" w:color="auto"/>
            </w:tcBorders>
          </w:tcPr>
          <w:p w14:paraId="7A1616F6" w14:textId="77777777" w:rsidR="00FB3BF2" w:rsidRPr="004453C2" w:rsidRDefault="00FB3BF2" w:rsidP="00EB20A3">
            <w:pPr>
              <w:rPr>
                <w:rFonts w:cs="Arial"/>
                <w:u w:val="single"/>
              </w:rPr>
            </w:pPr>
            <w:r w:rsidRPr="004453C2">
              <w:rPr>
                <w:rFonts w:cs="Arial"/>
                <w:u w:val="single"/>
              </w:rPr>
              <w:t xml:space="preserve">Domestic Properties </w:t>
            </w:r>
          </w:p>
          <w:p w14:paraId="734D8845" w14:textId="77777777" w:rsidR="00FB3BF2" w:rsidRPr="004453C2" w:rsidRDefault="00FB3BF2" w:rsidP="00EB20A3">
            <w:pPr>
              <w:rPr>
                <w:rFonts w:cs="Arial"/>
              </w:rPr>
            </w:pPr>
            <w:r w:rsidRPr="004453C2">
              <w:rPr>
                <w:rFonts w:cs="Arial"/>
              </w:rPr>
              <w:t xml:space="preserve">The Microgeneration Certification Scheme (MCS) data shows Oxford currently has 309 ASHPs and EPC data shows 346 properties with an ASHP. Further work would need to be done to determine tenure type. </w:t>
            </w:r>
          </w:p>
          <w:p w14:paraId="227C5D2A" w14:textId="77777777" w:rsidR="00FB3BF2" w:rsidRPr="004453C2" w:rsidRDefault="00FB3BF2" w:rsidP="00EB20A3">
            <w:pPr>
              <w:rPr>
                <w:rFonts w:cs="Arial"/>
                <w:u w:val="single"/>
              </w:rPr>
            </w:pPr>
            <w:r w:rsidRPr="004453C2">
              <w:rPr>
                <w:rFonts w:cs="Arial"/>
                <w:u w:val="single"/>
              </w:rPr>
              <w:t xml:space="preserve">Commercial properties </w:t>
            </w:r>
          </w:p>
          <w:p w14:paraId="30AC7044" w14:textId="0071A2BA" w:rsidR="00C36CDF" w:rsidRPr="004453C2" w:rsidRDefault="00FB3BF2" w:rsidP="00EB20A3">
            <w:pPr>
              <w:rPr>
                <w:rFonts w:cs="Arial"/>
              </w:rPr>
            </w:pPr>
            <w:r w:rsidRPr="004453C2">
              <w:rPr>
                <w:rFonts w:cs="Arial"/>
              </w:rPr>
              <w:t>Data on commercial property ASHPS installs is not currently collected. It may be possible to gain indicative figures from commercial EPCs. Local Energy Area Planning (LAEP) will provide an audit of the baseline data for commercial EPCs. It is likely that numbers of commercial ASHPs could be possible via this process and data can be reported back to the panel once completed.</w:t>
            </w:r>
          </w:p>
        </w:tc>
      </w:tr>
    </w:tbl>
    <w:p w14:paraId="3ACC4732" w14:textId="77777777" w:rsidR="004F04AB" w:rsidRPr="004453C2" w:rsidRDefault="004F04AB" w:rsidP="00930989">
      <w:pPr>
        <w:ind w:left="-142"/>
        <w:rPr>
          <w:rFonts w:cs="Arial"/>
          <w:b/>
        </w:rPr>
      </w:pPr>
    </w:p>
    <w:p w14:paraId="2439049A" w14:textId="44ECB8B8" w:rsidR="009B2118" w:rsidRPr="004453C2" w:rsidRDefault="009B2118" w:rsidP="00422FED">
      <w:pPr>
        <w:keepNext/>
        <w:keepLines/>
        <w:rPr>
          <w:rFonts w:cs="Arial"/>
          <w:b/>
        </w:rPr>
      </w:pPr>
      <w:r w:rsidRPr="004453C2">
        <w:rPr>
          <w:rFonts w:cs="Arial"/>
          <w:b/>
        </w:rPr>
        <w:lastRenderedPageBreak/>
        <w:t>Carbon Offsetting (Local Carbon Oxford) Update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9B2118" w:rsidRPr="004453C2" w14:paraId="31FDC120" w14:textId="77777777" w:rsidTr="00EB20A3">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B5545" w14:textId="77777777" w:rsidR="009B2118" w:rsidRPr="004453C2" w:rsidRDefault="009B2118" w:rsidP="00A93727">
            <w:pPr>
              <w:keepNext/>
              <w:keepLines/>
              <w:rPr>
                <w:rFonts w:cs="Arial"/>
                <w:b/>
                <w:i/>
              </w:rPr>
            </w:pPr>
            <w:r w:rsidRPr="004453C2">
              <w:rPr>
                <w:rFonts w:cs="Arial"/>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B31128" w14:textId="77777777" w:rsidR="009B2118" w:rsidRPr="004453C2" w:rsidRDefault="009B2118" w:rsidP="00A93727">
            <w:pPr>
              <w:keepNext/>
              <w:keepLines/>
              <w:rPr>
                <w:rFonts w:cs="Arial"/>
                <w:b/>
                <w:bCs/>
                <w:i/>
                <w:iCs/>
              </w:rPr>
            </w:pPr>
            <w:r w:rsidRPr="004453C2">
              <w:rPr>
                <w:rFonts w:cs="Arial"/>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A6043F" w14:textId="77777777" w:rsidR="009B2118" w:rsidRPr="004453C2" w:rsidRDefault="009B2118" w:rsidP="00A93727">
            <w:pPr>
              <w:keepNext/>
              <w:keepLines/>
              <w:rPr>
                <w:rFonts w:cs="Arial"/>
                <w:b/>
                <w:i/>
              </w:rPr>
            </w:pPr>
            <w:r w:rsidRPr="004453C2">
              <w:rPr>
                <w:rFonts w:cs="Arial"/>
                <w:b/>
                <w:i/>
              </w:rPr>
              <w:t>Comment</w:t>
            </w:r>
          </w:p>
        </w:tc>
      </w:tr>
      <w:tr w:rsidR="009B2118" w:rsidRPr="004453C2" w14:paraId="0097A63B" w14:textId="77777777" w:rsidTr="00EB20A3">
        <w:trPr>
          <w:trHeight w:val="300"/>
        </w:trPr>
        <w:tc>
          <w:tcPr>
            <w:tcW w:w="6629" w:type="dxa"/>
            <w:tcBorders>
              <w:top w:val="single" w:sz="4" w:space="0" w:color="auto"/>
              <w:left w:val="single" w:sz="4" w:space="0" w:color="auto"/>
              <w:bottom w:val="single" w:sz="4" w:space="0" w:color="auto"/>
              <w:right w:val="single" w:sz="4" w:space="0" w:color="auto"/>
            </w:tcBorders>
          </w:tcPr>
          <w:p w14:paraId="6EE6B31A" w14:textId="05355508" w:rsidR="009B2118" w:rsidRPr="004453C2" w:rsidRDefault="00C84F77" w:rsidP="009B2118">
            <w:pPr>
              <w:pStyle w:val="ListParagraph"/>
              <w:numPr>
                <w:ilvl w:val="0"/>
                <w:numId w:val="14"/>
              </w:numPr>
              <w:tabs>
                <w:tab w:val="left" w:pos="720"/>
              </w:tabs>
              <w:spacing w:after="160" w:line="252" w:lineRule="auto"/>
              <w:rPr>
                <w:rFonts w:cs="Arial"/>
                <w:color w:val="auto"/>
                <w:lang w:eastAsia="en-US"/>
              </w:rPr>
            </w:pPr>
            <w:r w:rsidRPr="004453C2">
              <w:rPr>
                <w:rFonts w:cs="Arial"/>
                <w:color w:val="auto"/>
                <w:lang w:eastAsia="en-US"/>
              </w:rPr>
              <w:t xml:space="preserve">Update for Local Carbon Oxford project to be provided for the Panel </w:t>
            </w:r>
            <w:proofErr w:type="gramStart"/>
            <w:r w:rsidRPr="004453C2">
              <w:rPr>
                <w:rFonts w:cs="Arial"/>
                <w:color w:val="auto"/>
                <w:lang w:eastAsia="en-US"/>
              </w:rPr>
              <w:t>at a later date</w:t>
            </w:r>
            <w:proofErr w:type="gramEnd"/>
            <w:r w:rsidRPr="004453C2">
              <w:rPr>
                <w:rFonts w:cs="Arial"/>
                <w:color w:val="auto"/>
                <w:lang w:eastAsia="en-US"/>
              </w:rPr>
              <w:t xml:space="preserve">. </w:t>
            </w:r>
          </w:p>
        </w:tc>
        <w:tc>
          <w:tcPr>
            <w:tcW w:w="1134" w:type="dxa"/>
            <w:tcBorders>
              <w:top w:val="single" w:sz="4" w:space="0" w:color="auto"/>
              <w:left w:val="single" w:sz="4" w:space="0" w:color="auto"/>
              <w:bottom w:val="single" w:sz="4" w:space="0" w:color="auto"/>
              <w:right w:val="single" w:sz="4" w:space="0" w:color="auto"/>
            </w:tcBorders>
          </w:tcPr>
          <w:p w14:paraId="2371DB6B" w14:textId="24B86AAE" w:rsidR="009B2118" w:rsidRPr="000F3AE1" w:rsidRDefault="00C84F77" w:rsidP="00EB20A3">
            <w:pPr>
              <w:rPr>
                <w:rFonts w:cs="Arial"/>
              </w:rPr>
            </w:pPr>
            <w:r w:rsidRPr="000F3AE1">
              <w:rPr>
                <w:rFonts w:cs="Arial"/>
              </w:rPr>
              <w:t>Yes</w:t>
            </w:r>
          </w:p>
        </w:tc>
        <w:tc>
          <w:tcPr>
            <w:tcW w:w="6520" w:type="dxa"/>
            <w:tcBorders>
              <w:top w:val="single" w:sz="4" w:space="0" w:color="auto"/>
              <w:left w:val="single" w:sz="4" w:space="0" w:color="auto"/>
              <w:bottom w:val="single" w:sz="4" w:space="0" w:color="auto"/>
              <w:right w:val="single" w:sz="4" w:space="0" w:color="auto"/>
            </w:tcBorders>
          </w:tcPr>
          <w:p w14:paraId="61FB4BCB" w14:textId="3FB936DE" w:rsidR="009B2118" w:rsidRPr="004453C2" w:rsidRDefault="00C84F77" w:rsidP="00EB20A3">
            <w:pPr>
              <w:spacing w:after="0"/>
              <w:rPr>
                <w:rFonts w:eastAsia="Arial" w:cs="Arial"/>
              </w:rPr>
            </w:pPr>
            <w:r w:rsidRPr="004453C2">
              <w:rPr>
                <w:rFonts w:eastAsia="Arial" w:cs="Arial"/>
              </w:rPr>
              <w:t>An update can be provided to the panel when the Innovate UK grant funding support for the project ends in June 2025.</w:t>
            </w:r>
          </w:p>
        </w:tc>
      </w:tr>
    </w:tbl>
    <w:p w14:paraId="6B41242B" w14:textId="3D15847A" w:rsidR="004F04AB" w:rsidRPr="004453C2" w:rsidRDefault="004F04AB">
      <w:pPr>
        <w:spacing w:after="0"/>
        <w:rPr>
          <w:rFonts w:cs="Arial"/>
          <w:b/>
        </w:rPr>
      </w:pPr>
      <w:r w:rsidRPr="004453C2">
        <w:rPr>
          <w:rFonts w:cs="Arial"/>
          <w:b/>
        </w:rPr>
        <w:br w:type="page"/>
      </w:r>
    </w:p>
    <w:p w14:paraId="7D8803B9" w14:textId="77777777" w:rsidR="004F04AB" w:rsidRDefault="004F04AB" w:rsidP="00930989">
      <w:pPr>
        <w:ind w:left="-142"/>
        <w:rPr>
          <w:b/>
          <w:sz w:val="28"/>
        </w:rPr>
      </w:pPr>
    </w:p>
    <w:p w14:paraId="145EF4FB" w14:textId="7DE0F963" w:rsidR="009D5ABC" w:rsidRPr="004E5475" w:rsidRDefault="009D5ABC" w:rsidP="00930989">
      <w:pPr>
        <w:ind w:left="-142"/>
        <w:rPr>
          <w:b/>
          <w:sz w:val="28"/>
        </w:rPr>
      </w:pPr>
      <w:r>
        <w:rPr>
          <w:b/>
          <w:sz w:val="28"/>
        </w:rPr>
        <w:t xml:space="preserve">Table 2 – </w:t>
      </w:r>
      <w:r w:rsidR="00930989" w:rsidRPr="00930989">
        <w:rPr>
          <w:b/>
          <w:sz w:val="28"/>
        </w:rPr>
        <w:t xml:space="preserve">Cabinet response to the list of Scrutiny recommendations in </w:t>
      </w:r>
      <w:r w:rsidR="009E3E8E">
        <w:rPr>
          <w:b/>
          <w:sz w:val="28"/>
        </w:rPr>
        <w:t>June</w:t>
      </w:r>
      <w:r w:rsidR="00930989" w:rsidRPr="00930989">
        <w:rPr>
          <w:b/>
          <w:sz w:val="28"/>
        </w:rPr>
        <w:t xml:space="preserve"> 2025</w:t>
      </w:r>
    </w:p>
    <w:p w14:paraId="59992310" w14:textId="77777777" w:rsidR="00594362" w:rsidRPr="00A93727" w:rsidRDefault="00594362" w:rsidP="00AA2ADA">
      <w:pPr>
        <w:rPr>
          <w:b/>
        </w:rPr>
      </w:pPr>
    </w:p>
    <w:p w14:paraId="62E3075C" w14:textId="02C64D06" w:rsidR="00594362" w:rsidRPr="00A93727" w:rsidRDefault="00594362" w:rsidP="00422FED">
      <w:r w:rsidRPr="00A93727">
        <w:t xml:space="preserve">The table below sets out the response of the Cabinet Member to recommendations made </w:t>
      </w:r>
      <w:r w:rsidR="002139C0" w:rsidRPr="00A93727">
        <w:t xml:space="preserve">or endorsed </w:t>
      </w:r>
      <w:r w:rsidRPr="00A93727">
        <w:t xml:space="preserve">by the Scrutiny Committee </w:t>
      </w:r>
      <w:r w:rsidR="002139C0" w:rsidRPr="00A93727">
        <w:t>during its meeting on</w:t>
      </w:r>
      <w:r w:rsidRPr="00A93727">
        <w:t xml:space="preserve"> 10 June 2025</w:t>
      </w:r>
      <w:r w:rsidR="00FB4122" w:rsidRPr="00A93727">
        <w:t xml:space="preserve">. </w:t>
      </w:r>
    </w:p>
    <w:p w14:paraId="7DF8AA71" w14:textId="77777777" w:rsidR="00AF5909" w:rsidRPr="00A93727" w:rsidRDefault="00AF5909" w:rsidP="00594362"/>
    <w:p w14:paraId="3A9E3980" w14:textId="6CC3950D" w:rsidR="00594362" w:rsidRPr="00A93727" w:rsidRDefault="00AF5909" w:rsidP="00422FED">
      <w:pPr>
        <w:rPr>
          <w:b/>
        </w:rPr>
      </w:pPr>
      <w:r w:rsidRPr="00A93727">
        <w:rPr>
          <w:b/>
        </w:rPr>
        <w:t>Leisure Investment Programme Update and More Leisure Service Annual Plan</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94362" w:rsidRPr="00A93727" w14:paraId="343339BF" w14:textId="77777777" w:rsidTr="00A81153">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0BE9C" w14:textId="77777777" w:rsidR="00594362" w:rsidRPr="00A93727" w:rsidRDefault="00594362" w:rsidP="00A81153">
            <w:pPr>
              <w:rPr>
                <w:b/>
                <w:bCs/>
                <w:i/>
                <w:iCs/>
              </w:rPr>
            </w:pPr>
            <w:r w:rsidRPr="00A93727">
              <w:rPr>
                <w:b/>
                <w:bCs/>
                <w:i/>
                <w:iCs/>
              </w:rPr>
              <w:t>Recommendations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6D6215" w14:textId="77777777" w:rsidR="00594362" w:rsidRPr="00A93727" w:rsidRDefault="00594362" w:rsidP="00A81153">
            <w:pPr>
              <w:rPr>
                <w:b/>
                <w:bCs/>
                <w:i/>
                <w:iCs/>
              </w:rPr>
            </w:pPr>
            <w:r w:rsidRPr="00A93727">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87953" w14:textId="77777777" w:rsidR="00594362" w:rsidRPr="00A93727" w:rsidRDefault="00594362" w:rsidP="00A81153">
            <w:pPr>
              <w:rPr>
                <w:b/>
                <w:bCs/>
                <w:i/>
                <w:iCs/>
              </w:rPr>
            </w:pPr>
            <w:r w:rsidRPr="00A93727">
              <w:rPr>
                <w:b/>
                <w:bCs/>
                <w:i/>
                <w:iCs/>
              </w:rPr>
              <w:t>Comments</w:t>
            </w:r>
          </w:p>
        </w:tc>
      </w:tr>
      <w:tr w:rsidR="00594362" w:rsidRPr="00A93727" w14:paraId="3B480A63" w14:textId="77777777" w:rsidTr="00A81153">
        <w:trPr>
          <w:trHeight w:val="1060"/>
        </w:trPr>
        <w:tc>
          <w:tcPr>
            <w:tcW w:w="6629" w:type="dxa"/>
            <w:tcBorders>
              <w:top w:val="single" w:sz="4" w:space="0" w:color="auto"/>
              <w:left w:val="single" w:sz="4" w:space="0" w:color="auto"/>
              <w:bottom w:val="single" w:sz="4" w:space="0" w:color="auto"/>
              <w:right w:val="single" w:sz="4" w:space="0" w:color="auto"/>
            </w:tcBorders>
          </w:tcPr>
          <w:p w14:paraId="2C3B3100" w14:textId="77777777" w:rsidR="00594362" w:rsidRPr="00A93727" w:rsidRDefault="00594362" w:rsidP="00EA6881">
            <w:pPr>
              <w:pStyle w:val="ListParagraph"/>
              <w:numPr>
                <w:ilvl w:val="0"/>
                <w:numId w:val="7"/>
              </w:numPr>
              <w:tabs>
                <w:tab w:val="left" w:pos="720"/>
              </w:tabs>
              <w:spacing w:after="160" w:line="252" w:lineRule="auto"/>
              <w:rPr>
                <w:rFonts w:cs="Arial"/>
                <w:color w:val="auto"/>
                <w:lang w:eastAsia="en-US"/>
              </w:rPr>
            </w:pPr>
            <w:r w:rsidRPr="00A93727">
              <w:rPr>
                <w:rFonts w:cs="Arial"/>
                <w:color w:val="auto"/>
                <w:lang w:eastAsia="en-US"/>
              </w:rPr>
              <w:t>That the accuracy of the data presented within the Annual Service Plan, particularly regarding baseline usage figures and the 3% growth KPI's, be improved by utilising best estimates for the quantity of missing visits; and that the revised data be included in the update report to be brought back to the Scrutiny Committee in six months’ time.</w:t>
            </w:r>
          </w:p>
        </w:tc>
        <w:tc>
          <w:tcPr>
            <w:tcW w:w="1134" w:type="dxa"/>
            <w:tcBorders>
              <w:top w:val="single" w:sz="4" w:space="0" w:color="auto"/>
              <w:left w:val="single" w:sz="4" w:space="0" w:color="auto"/>
              <w:bottom w:val="single" w:sz="4" w:space="0" w:color="auto"/>
              <w:right w:val="single" w:sz="4" w:space="0" w:color="auto"/>
            </w:tcBorders>
          </w:tcPr>
          <w:p w14:paraId="75D393F4" w14:textId="77777777" w:rsidR="00594362" w:rsidRPr="00A93727" w:rsidRDefault="00594362" w:rsidP="00A81153">
            <w:r w:rsidRPr="00A93727">
              <w:t>In part</w:t>
            </w:r>
          </w:p>
        </w:tc>
        <w:tc>
          <w:tcPr>
            <w:tcW w:w="6520" w:type="dxa"/>
            <w:tcBorders>
              <w:top w:val="single" w:sz="4" w:space="0" w:color="auto"/>
              <w:left w:val="single" w:sz="4" w:space="0" w:color="auto"/>
              <w:bottom w:val="single" w:sz="4" w:space="0" w:color="auto"/>
              <w:right w:val="single" w:sz="4" w:space="0" w:color="auto"/>
            </w:tcBorders>
          </w:tcPr>
          <w:p w14:paraId="50DFF85E" w14:textId="77777777" w:rsidR="00594362" w:rsidRPr="00A93727" w:rsidRDefault="00594362" w:rsidP="00A81153">
            <w:pPr>
              <w:spacing w:after="0"/>
            </w:pPr>
            <w:r w:rsidRPr="00A93727">
              <w:rPr>
                <w:rFonts w:eastAsia="Arial" w:cs="Arial"/>
              </w:rPr>
              <w:t xml:space="preserve">We will work with More Leisure to update the Year 1 baseline figures, to include our best estimates. We feel an update in 12 months’ time would be better suited as this will show a full year’s worth of data. </w:t>
            </w:r>
          </w:p>
        </w:tc>
      </w:tr>
      <w:tr w:rsidR="00594362" w:rsidRPr="00A93727" w14:paraId="0B21026D" w14:textId="77777777" w:rsidTr="00A81153">
        <w:trPr>
          <w:trHeight w:val="1060"/>
        </w:trPr>
        <w:tc>
          <w:tcPr>
            <w:tcW w:w="6629" w:type="dxa"/>
            <w:tcBorders>
              <w:top w:val="single" w:sz="4" w:space="0" w:color="auto"/>
              <w:left w:val="single" w:sz="4" w:space="0" w:color="auto"/>
              <w:bottom w:val="single" w:sz="4" w:space="0" w:color="auto"/>
              <w:right w:val="single" w:sz="4" w:space="0" w:color="auto"/>
            </w:tcBorders>
          </w:tcPr>
          <w:p w14:paraId="55C34271" w14:textId="77777777" w:rsidR="00594362" w:rsidRPr="00A93727" w:rsidRDefault="00594362" w:rsidP="00EA6881">
            <w:pPr>
              <w:pStyle w:val="ListParagraph"/>
              <w:numPr>
                <w:ilvl w:val="0"/>
                <w:numId w:val="7"/>
              </w:numPr>
              <w:tabs>
                <w:tab w:val="left" w:pos="426"/>
                <w:tab w:val="left" w:pos="720"/>
              </w:tabs>
              <w:spacing w:after="160" w:line="252" w:lineRule="auto"/>
              <w:rPr>
                <w:rFonts w:cs="Arial"/>
              </w:rPr>
            </w:pPr>
            <w:r w:rsidRPr="00A93727">
              <w:rPr>
                <w:rFonts w:cs="Arial"/>
              </w:rPr>
              <w:t xml:space="preserve">That the Council seek confirmation as to whether there is an ongoing contract between Serco and </w:t>
            </w:r>
            <w:proofErr w:type="spellStart"/>
            <w:r w:rsidRPr="00A93727">
              <w:rPr>
                <w:rFonts w:cs="Arial"/>
              </w:rPr>
              <w:t>Lynxight</w:t>
            </w:r>
            <w:proofErr w:type="spellEnd"/>
            <w:r w:rsidRPr="00A93727">
              <w:rPr>
                <w:rFonts w:cs="Arial"/>
              </w:rPr>
              <w:t xml:space="preserve"> and, if so, examine the nature of </w:t>
            </w:r>
            <w:proofErr w:type="spellStart"/>
            <w:r w:rsidRPr="00A93727">
              <w:rPr>
                <w:rFonts w:cs="Arial"/>
              </w:rPr>
              <w:t>Lynxight’s</w:t>
            </w:r>
            <w:proofErr w:type="spellEnd"/>
            <w:r w:rsidRPr="00A93727">
              <w:rPr>
                <w:rFonts w:cs="Arial"/>
              </w:rPr>
              <w:t xml:space="preserve"> engagements. This should include providing further details on how human rights and ethical procurement policies are applied within the leisure service contracts, ensuring this information is published to reassure residents that these commitments are being upheld.</w:t>
            </w:r>
          </w:p>
        </w:tc>
        <w:tc>
          <w:tcPr>
            <w:tcW w:w="1134" w:type="dxa"/>
            <w:tcBorders>
              <w:top w:val="single" w:sz="4" w:space="0" w:color="auto"/>
              <w:left w:val="single" w:sz="4" w:space="0" w:color="auto"/>
              <w:bottom w:val="single" w:sz="4" w:space="0" w:color="auto"/>
              <w:right w:val="single" w:sz="4" w:space="0" w:color="auto"/>
            </w:tcBorders>
          </w:tcPr>
          <w:p w14:paraId="3ED8D805" w14:textId="77777777" w:rsidR="00594362" w:rsidRPr="00A93727" w:rsidRDefault="00594362" w:rsidP="00A81153">
            <w:r w:rsidRPr="00A93727">
              <w:t>Yes</w:t>
            </w:r>
          </w:p>
        </w:tc>
        <w:tc>
          <w:tcPr>
            <w:tcW w:w="6520" w:type="dxa"/>
            <w:tcBorders>
              <w:top w:val="single" w:sz="4" w:space="0" w:color="auto"/>
              <w:left w:val="single" w:sz="4" w:space="0" w:color="auto"/>
              <w:bottom w:val="single" w:sz="4" w:space="0" w:color="auto"/>
              <w:right w:val="single" w:sz="4" w:space="0" w:color="auto"/>
            </w:tcBorders>
          </w:tcPr>
          <w:p w14:paraId="1FE41208" w14:textId="77777777" w:rsidR="00594362" w:rsidRPr="00A93727" w:rsidRDefault="00594362" w:rsidP="00A81153">
            <w:pPr>
              <w:rPr>
                <w:rFonts w:eastAsia="Arial" w:cs="Arial"/>
              </w:rPr>
            </w:pPr>
            <w:r w:rsidRPr="00A93727">
              <w:rPr>
                <w:rFonts w:eastAsia="Arial" w:cs="Arial"/>
              </w:rPr>
              <w:t xml:space="preserve">Serco has a licence agreement with </w:t>
            </w:r>
            <w:proofErr w:type="spellStart"/>
            <w:r w:rsidRPr="00A93727">
              <w:rPr>
                <w:rFonts w:eastAsia="Arial" w:cs="Arial"/>
              </w:rPr>
              <w:t>Lynxight</w:t>
            </w:r>
            <w:proofErr w:type="spellEnd"/>
            <w:r w:rsidRPr="00A93727">
              <w:rPr>
                <w:rFonts w:eastAsia="Arial" w:cs="Arial"/>
              </w:rPr>
              <w:t xml:space="preserve"> for ongoing, remote support for the AI-powered drowning prevention system currently being used at Ferry Leisure Centre, Leys Pools &amp; Leisure Centre &amp; Barton Leisure Centre.</w:t>
            </w:r>
          </w:p>
          <w:p w14:paraId="0B948B0F" w14:textId="77777777" w:rsidR="00594362" w:rsidRPr="00A93727" w:rsidRDefault="00594362" w:rsidP="00A81153">
            <w:proofErr w:type="spellStart"/>
            <w:r w:rsidRPr="00A93727">
              <w:rPr>
                <w:rFonts w:eastAsia="Arial" w:cs="Arial"/>
              </w:rPr>
              <w:t>Lynxight</w:t>
            </w:r>
            <w:proofErr w:type="spellEnd"/>
            <w:r w:rsidRPr="00A93727">
              <w:rPr>
                <w:rFonts w:eastAsia="Arial" w:cs="Arial"/>
              </w:rPr>
              <w:t xml:space="preserve"> was co-founded by people who saw AI as something that could improve water safety and help prevent drowning. The company operates internationally and is endorsed by the UK Royal Life Saving Society (RLSS). </w:t>
            </w:r>
          </w:p>
          <w:p w14:paraId="5CA7833B" w14:textId="77777777" w:rsidR="00594362" w:rsidRPr="00A93727" w:rsidRDefault="00594362" w:rsidP="00A81153">
            <w:proofErr w:type="spellStart"/>
            <w:r w:rsidRPr="00A93727">
              <w:rPr>
                <w:rFonts w:eastAsia="Arial" w:cs="Arial"/>
              </w:rPr>
              <w:t>Lynxight</w:t>
            </w:r>
            <w:proofErr w:type="spellEnd"/>
            <w:r w:rsidRPr="00A93727">
              <w:rPr>
                <w:rFonts w:eastAsia="Arial" w:cs="Arial"/>
              </w:rPr>
              <w:t xml:space="preserve"> is state of the art technology, which supports lifeguarding teams to provide an enhanced level of safety for the people using our pools. </w:t>
            </w:r>
          </w:p>
          <w:p w14:paraId="216264E6" w14:textId="77777777" w:rsidR="00594362" w:rsidRPr="00A93727" w:rsidRDefault="00594362" w:rsidP="00A81153">
            <w:r w:rsidRPr="00A93727">
              <w:rPr>
                <w:rFonts w:eastAsia="Arial" w:cs="Arial"/>
              </w:rPr>
              <w:t xml:space="preserve">This AI system is used at other Serco-managed </w:t>
            </w:r>
            <w:proofErr w:type="gramStart"/>
            <w:r w:rsidRPr="00A93727">
              <w:rPr>
                <w:rFonts w:eastAsia="Arial" w:cs="Arial"/>
              </w:rPr>
              <w:t>facilities</w:t>
            </w:r>
            <w:proofErr w:type="gramEnd"/>
            <w:r w:rsidRPr="00A93727">
              <w:rPr>
                <w:rFonts w:eastAsia="Arial" w:cs="Arial"/>
              </w:rPr>
              <w:t xml:space="preserve"> and they have recently signed agreements to other UK </w:t>
            </w:r>
            <w:r w:rsidRPr="00A93727">
              <w:rPr>
                <w:rFonts w:eastAsia="Arial" w:cs="Arial"/>
              </w:rPr>
              <w:lastRenderedPageBreak/>
              <w:t>Operators including David Lloyd.</w:t>
            </w:r>
          </w:p>
          <w:p w14:paraId="56C585B3" w14:textId="77777777" w:rsidR="00594362" w:rsidRPr="00A93727" w:rsidRDefault="00594362" w:rsidP="00A81153">
            <w:pPr>
              <w:rPr>
                <w:rFonts w:eastAsia="Arial" w:cs="Arial"/>
              </w:rPr>
            </w:pPr>
            <w:r w:rsidRPr="00A93727">
              <w:rPr>
                <w:rFonts w:eastAsia="Arial" w:cs="Arial"/>
              </w:rPr>
              <w:t>Through the agency agreement the system was procured in line with Serco’s strict code of conduct and our humanitarian policy on behalf of More Leisure. Serco are a trusted provider to the UK government and other governments around the world.</w:t>
            </w:r>
          </w:p>
          <w:p w14:paraId="72A6FC11" w14:textId="77777777" w:rsidR="00594362" w:rsidRPr="00A93727" w:rsidRDefault="00594362" w:rsidP="00A81153">
            <w:pPr>
              <w:rPr>
                <w:rFonts w:eastAsia="Arial" w:cs="Arial"/>
              </w:rPr>
            </w:pPr>
            <w:r w:rsidRPr="00A93727">
              <w:rPr>
                <w:rFonts w:eastAsia="Arial" w:cs="Arial"/>
              </w:rPr>
              <w:t xml:space="preserve">Serco have high standards and strict procurement procedures; these are covered by their </w:t>
            </w:r>
            <w:hyperlink r:id="rId8">
              <w:r w:rsidRPr="00A93727">
                <w:rPr>
                  <w:rStyle w:val="Hyperlink"/>
                  <w:rFonts w:eastAsia="Arial" w:cs="Arial"/>
                </w:rPr>
                <w:t>Supplier Code of Conduct</w:t>
              </w:r>
            </w:hyperlink>
            <w:r w:rsidRPr="00A93727">
              <w:rPr>
                <w:rFonts w:eastAsia="Arial" w:cs="Arial"/>
              </w:rPr>
              <w:t xml:space="preserve"> and </w:t>
            </w:r>
            <w:hyperlink r:id="rId9">
              <w:r w:rsidRPr="00A93727">
                <w:rPr>
                  <w:rStyle w:val="Hyperlink"/>
                  <w:rFonts w:eastAsia="Arial" w:cs="Arial"/>
                </w:rPr>
                <w:t>Sustainable Procurement Charter</w:t>
              </w:r>
            </w:hyperlink>
            <w:r w:rsidRPr="00A93727">
              <w:rPr>
                <w:rFonts w:eastAsia="Arial" w:cs="Arial"/>
              </w:rPr>
              <w:t xml:space="preserve">. </w:t>
            </w:r>
            <w:hyperlink r:id="rId10">
              <w:r w:rsidRPr="00A93727">
                <w:rPr>
                  <w:rStyle w:val="Hyperlink"/>
                  <w:rFonts w:eastAsia="Arial" w:cs="Arial"/>
                </w:rPr>
                <w:t>Respecting human rights</w:t>
              </w:r>
            </w:hyperlink>
            <w:r w:rsidRPr="00A93727">
              <w:rPr>
                <w:rFonts w:eastAsia="Arial" w:cs="Arial"/>
                <w:lang w:val="en-US"/>
              </w:rPr>
              <w:t xml:space="preserve"> </w:t>
            </w:r>
            <w:r w:rsidRPr="00A93727">
              <w:rPr>
                <w:rFonts w:eastAsia="Arial" w:cs="Arial"/>
              </w:rPr>
              <w:t>is an integral part of Serco’s operation, whose core values are Trust, Care, Innovation and Pride.</w:t>
            </w:r>
          </w:p>
        </w:tc>
      </w:tr>
    </w:tbl>
    <w:p w14:paraId="0C66D8F5" w14:textId="77777777" w:rsidR="00594362" w:rsidRPr="00A93727" w:rsidRDefault="00594362" w:rsidP="00594362">
      <w:pPr>
        <w:rPr>
          <w:rFonts w:eastAsia="Arial"/>
        </w:rPr>
      </w:pPr>
    </w:p>
    <w:p w14:paraId="4E4ED246" w14:textId="3D6C734A" w:rsidR="00594362" w:rsidRPr="00A93727" w:rsidRDefault="00594362" w:rsidP="00422FED">
      <w:pPr>
        <w:rPr>
          <w:b/>
        </w:rPr>
      </w:pPr>
      <w:r w:rsidRPr="00A93727">
        <w:rPr>
          <w:b/>
        </w:rPr>
        <w:t>Oxford Local Plan 2042 Regulation 18 Consultation Document</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94362" w:rsidRPr="00A93727" w14:paraId="11E517C7" w14:textId="77777777" w:rsidTr="00A81153">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5B234" w14:textId="77777777" w:rsidR="00594362" w:rsidRPr="00A93727" w:rsidRDefault="00594362" w:rsidP="00A81153">
            <w:pPr>
              <w:rPr>
                <w:b/>
                <w:i/>
              </w:rPr>
            </w:pPr>
            <w:r w:rsidRPr="00A93727">
              <w:rPr>
                <w:b/>
                <w:i/>
              </w:rPr>
              <w:t>Recommendations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24883" w14:textId="77777777" w:rsidR="00594362" w:rsidRPr="00A93727" w:rsidRDefault="00594362" w:rsidP="00A81153">
            <w:pPr>
              <w:rPr>
                <w:b/>
                <w:bCs/>
                <w:i/>
                <w:iCs/>
              </w:rPr>
            </w:pPr>
            <w:r w:rsidRPr="00A93727">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D49857" w14:textId="77777777" w:rsidR="00594362" w:rsidRPr="00A93727" w:rsidRDefault="00594362" w:rsidP="00A81153">
            <w:pPr>
              <w:rPr>
                <w:b/>
                <w:bCs/>
                <w:i/>
                <w:iCs/>
              </w:rPr>
            </w:pPr>
            <w:r w:rsidRPr="00A93727">
              <w:rPr>
                <w:b/>
                <w:bCs/>
                <w:i/>
                <w:iCs/>
              </w:rPr>
              <w:t>Comments</w:t>
            </w:r>
          </w:p>
        </w:tc>
      </w:tr>
      <w:tr w:rsidR="00594362" w:rsidRPr="00A93727" w14:paraId="7CE15BAF" w14:textId="77777777" w:rsidTr="00A81153">
        <w:trPr>
          <w:trHeight w:val="1060"/>
        </w:trPr>
        <w:tc>
          <w:tcPr>
            <w:tcW w:w="6629" w:type="dxa"/>
            <w:tcBorders>
              <w:top w:val="single" w:sz="4" w:space="0" w:color="auto"/>
              <w:left w:val="single" w:sz="4" w:space="0" w:color="auto"/>
              <w:bottom w:val="single" w:sz="4" w:space="0" w:color="auto"/>
              <w:right w:val="single" w:sz="4" w:space="0" w:color="auto"/>
            </w:tcBorders>
          </w:tcPr>
          <w:p w14:paraId="1CCDDC6D" w14:textId="77777777" w:rsidR="00594362" w:rsidRPr="00A93727" w:rsidRDefault="00594362" w:rsidP="00EA6881">
            <w:pPr>
              <w:pStyle w:val="ListParagraph"/>
              <w:numPr>
                <w:ilvl w:val="0"/>
                <w:numId w:val="8"/>
              </w:numPr>
              <w:tabs>
                <w:tab w:val="left" w:pos="720"/>
              </w:tabs>
              <w:spacing w:after="160" w:line="252" w:lineRule="auto"/>
              <w:rPr>
                <w:rFonts w:cs="Arial"/>
                <w:color w:val="auto"/>
                <w:lang w:eastAsia="en-US"/>
              </w:rPr>
            </w:pPr>
            <w:r w:rsidRPr="00A93727">
              <w:rPr>
                <w:rFonts w:cs="Arial"/>
                <w:color w:val="auto"/>
                <w:lang w:eastAsia="en-US"/>
              </w:rPr>
              <w:t>That the Cabinet review the cycle parking standards proposed in the draft Local Plan 2042 to ensure Consultation materials encourage more specific public feedback on this issue in alignment with the Council's wider transport policy commitments, particularly the goal to increase cycling trips within the city.</w:t>
            </w:r>
          </w:p>
        </w:tc>
        <w:tc>
          <w:tcPr>
            <w:tcW w:w="1134" w:type="dxa"/>
            <w:tcBorders>
              <w:top w:val="single" w:sz="4" w:space="0" w:color="auto"/>
              <w:left w:val="single" w:sz="4" w:space="0" w:color="auto"/>
              <w:bottom w:val="single" w:sz="4" w:space="0" w:color="auto"/>
              <w:right w:val="single" w:sz="4" w:space="0" w:color="auto"/>
            </w:tcBorders>
          </w:tcPr>
          <w:p w14:paraId="208DFEBE" w14:textId="77777777" w:rsidR="00594362" w:rsidRPr="00A93727" w:rsidRDefault="00594362" w:rsidP="00A81153">
            <w:r w:rsidRPr="00A93727">
              <w:t>Yes</w:t>
            </w:r>
          </w:p>
        </w:tc>
        <w:tc>
          <w:tcPr>
            <w:tcW w:w="6520" w:type="dxa"/>
            <w:tcBorders>
              <w:top w:val="single" w:sz="4" w:space="0" w:color="auto"/>
              <w:left w:val="single" w:sz="4" w:space="0" w:color="auto"/>
              <w:bottom w:val="single" w:sz="4" w:space="0" w:color="auto"/>
              <w:right w:val="single" w:sz="4" w:space="0" w:color="auto"/>
            </w:tcBorders>
          </w:tcPr>
          <w:p w14:paraId="02727AE5" w14:textId="77777777" w:rsidR="00594362" w:rsidRPr="00A93727" w:rsidRDefault="00594362" w:rsidP="00A81153">
            <w:pPr>
              <w:rPr>
                <w:rFonts w:eastAsia="Arial" w:cs="Arial"/>
                <w:color w:val="auto"/>
              </w:rPr>
            </w:pPr>
            <w:r w:rsidRPr="00A93727">
              <w:rPr>
                <w:rFonts w:eastAsia="Arial" w:cs="Arial"/>
                <w:color w:val="auto"/>
              </w:rPr>
              <w:t>The cycle parking standards proposed in the draft Local Plan 2042 at Policy C7 are those created by Oxfordshire County Council and therefore recommended by them for inclusion. Rather than delay consultation by entering into a debate with the County Council about their cycle parking standards at this stage, it will be more productive to review their standards in parallel to the Regulation 18 consultation, and based on the technical advice from them as the Transport Authority alongside the responses from the consultation to weigh up whether changes to policy at the Regulation 19 and Public Enquiry stages will have a good chance of success. The wording of materials used to promote the consultation will make clear that the City Council is looking for feedback on the detail of policies such as parking requirements as well as the broader principles across the Local Plan.</w:t>
            </w:r>
          </w:p>
        </w:tc>
      </w:tr>
      <w:tr w:rsidR="00594362" w:rsidRPr="00A93727" w14:paraId="6B971754" w14:textId="77777777" w:rsidTr="00A81153">
        <w:trPr>
          <w:trHeight w:val="755"/>
        </w:trPr>
        <w:tc>
          <w:tcPr>
            <w:tcW w:w="6629" w:type="dxa"/>
            <w:tcBorders>
              <w:top w:val="single" w:sz="4" w:space="0" w:color="auto"/>
              <w:left w:val="single" w:sz="4" w:space="0" w:color="auto"/>
              <w:bottom w:val="single" w:sz="4" w:space="0" w:color="auto"/>
              <w:right w:val="single" w:sz="4" w:space="0" w:color="auto"/>
            </w:tcBorders>
          </w:tcPr>
          <w:p w14:paraId="6C874721" w14:textId="77777777" w:rsidR="00594362" w:rsidRPr="00A93727" w:rsidRDefault="00594362" w:rsidP="00EA6881">
            <w:pPr>
              <w:pStyle w:val="ListParagraph"/>
              <w:numPr>
                <w:ilvl w:val="0"/>
                <w:numId w:val="8"/>
              </w:numPr>
              <w:tabs>
                <w:tab w:val="left" w:pos="426"/>
                <w:tab w:val="left" w:pos="720"/>
              </w:tabs>
              <w:spacing w:after="160" w:line="252" w:lineRule="auto"/>
              <w:rPr>
                <w:rFonts w:cs="Arial"/>
              </w:rPr>
            </w:pPr>
            <w:r w:rsidRPr="00A93727">
              <w:rPr>
                <w:rFonts w:cs="Arial"/>
              </w:rPr>
              <w:lastRenderedPageBreak/>
              <w:t xml:space="preserve">That the Cabinet review and consider strengthening the wording of policies HD8 and HD9 in the draft Local Plan 2042 to better support appropriate densification </w:t>
            </w:r>
            <w:proofErr w:type="gramStart"/>
            <w:r w:rsidRPr="00A93727">
              <w:rPr>
                <w:rFonts w:cs="Arial"/>
              </w:rPr>
              <w:t>in order to</w:t>
            </w:r>
            <w:proofErr w:type="gramEnd"/>
            <w:r w:rsidRPr="00A93727">
              <w:rPr>
                <w:rFonts w:cs="Arial"/>
              </w:rPr>
              <w:t xml:space="preserve"> meet Oxford's housing needs whilst respecting the scale and character of different parts of the city.</w:t>
            </w:r>
          </w:p>
        </w:tc>
        <w:tc>
          <w:tcPr>
            <w:tcW w:w="1134" w:type="dxa"/>
            <w:tcBorders>
              <w:top w:val="single" w:sz="4" w:space="0" w:color="auto"/>
              <w:left w:val="single" w:sz="4" w:space="0" w:color="auto"/>
              <w:bottom w:val="single" w:sz="4" w:space="0" w:color="auto"/>
              <w:right w:val="single" w:sz="4" w:space="0" w:color="auto"/>
            </w:tcBorders>
          </w:tcPr>
          <w:p w14:paraId="1CC0A5D1" w14:textId="77777777" w:rsidR="00594362" w:rsidRPr="00A93727" w:rsidRDefault="00594362" w:rsidP="00A81153">
            <w:r w:rsidRPr="00A93727">
              <w:t>In part</w:t>
            </w:r>
          </w:p>
        </w:tc>
        <w:tc>
          <w:tcPr>
            <w:tcW w:w="6520" w:type="dxa"/>
            <w:tcBorders>
              <w:top w:val="single" w:sz="4" w:space="0" w:color="auto"/>
              <w:left w:val="single" w:sz="4" w:space="0" w:color="auto"/>
              <w:bottom w:val="single" w:sz="4" w:space="0" w:color="auto"/>
              <w:right w:val="single" w:sz="4" w:space="0" w:color="auto"/>
            </w:tcBorders>
          </w:tcPr>
          <w:p w14:paraId="25A5FAE6" w14:textId="77777777" w:rsidR="00594362" w:rsidRPr="00A93727" w:rsidRDefault="00594362" w:rsidP="00A81153">
            <w:pPr>
              <w:rPr>
                <w:rFonts w:eastAsia="Arial" w:cs="Arial"/>
                <w:color w:val="auto"/>
              </w:rPr>
            </w:pPr>
            <w:r w:rsidRPr="00A93727">
              <w:rPr>
                <w:rFonts w:eastAsia="Arial" w:cs="Arial"/>
                <w:color w:val="auto"/>
              </w:rPr>
              <w:t xml:space="preserve">The policies themselves are already clear that they support densification as a principle. However, the supporting text which will sit around policies is just as important in making clear what principles lie behind policies; that will be drafted for the Regulation 19 consultation </w:t>
            </w:r>
            <w:proofErr w:type="gramStart"/>
            <w:r w:rsidRPr="00A93727">
              <w:rPr>
                <w:rFonts w:eastAsia="Arial" w:cs="Arial"/>
                <w:color w:val="auto"/>
              </w:rPr>
              <w:t>stage</w:t>
            </w:r>
            <w:proofErr w:type="gramEnd"/>
            <w:r w:rsidRPr="00A93727">
              <w:rPr>
                <w:rFonts w:eastAsia="Arial" w:cs="Arial"/>
                <w:color w:val="auto"/>
              </w:rPr>
              <w:t xml:space="preserve"> and we will ensure we reflect this principle in the supporting text.</w:t>
            </w:r>
          </w:p>
        </w:tc>
      </w:tr>
    </w:tbl>
    <w:p w14:paraId="590B43CC" w14:textId="048FA299" w:rsidR="00594362" w:rsidRPr="00A93727" w:rsidRDefault="00594362" w:rsidP="00AF5909">
      <w:pPr>
        <w:rPr>
          <w:b/>
        </w:rPr>
      </w:pPr>
    </w:p>
    <w:p w14:paraId="444CC1FA" w14:textId="79CF0648" w:rsidR="00594362" w:rsidRPr="00A93727" w:rsidRDefault="00594362" w:rsidP="00422FED">
      <w:pPr>
        <w:rPr>
          <w:b/>
        </w:rPr>
      </w:pPr>
      <w:r w:rsidRPr="00A93727">
        <w:rPr>
          <w:b/>
        </w:rPr>
        <w:t>Annual Complaint Performance &amp; Service Improvement Report</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94362" w:rsidRPr="00A93727" w14:paraId="687A8857" w14:textId="77777777" w:rsidTr="00A81153">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A79A6" w14:textId="77777777" w:rsidR="00594362" w:rsidRPr="00A93727" w:rsidRDefault="00594362" w:rsidP="00A81153">
            <w:pPr>
              <w:rPr>
                <w:b/>
                <w:i/>
              </w:rPr>
            </w:pPr>
            <w:r w:rsidRPr="00A93727">
              <w:rPr>
                <w:b/>
                <w:i/>
              </w:rPr>
              <w:t>Recommendations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D9A960" w14:textId="77777777" w:rsidR="00594362" w:rsidRPr="00A93727" w:rsidRDefault="00594362" w:rsidP="00A81153">
            <w:pPr>
              <w:rPr>
                <w:b/>
                <w:bCs/>
                <w:i/>
                <w:iCs/>
              </w:rPr>
            </w:pPr>
            <w:r w:rsidRPr="00A93727">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39A13" w14:textId="77777777" w:rsidR="00594362" w:rsidRPr="00A93727" w:rsidRDefault="00594362" w:rsidP="00A81153">
            <w:pPr>
              <w:rPr>
                <w:b/>
                <w:bCs/>
                <w:i/>
                <w:iCs/>
              </w:rPr>
            </w:pPr>
            <w:r w:rsidRPr="00A93727">
              <w:rPr>
                <w:b/>
                <w:bCs/>
                <w:i/>
                <w:iCs/>
              </w:rPr>
              <w:t>Comments</w:t>
            </w:r>
          </w:p>
        </w:tc>
      </w:tr>
      <w:tr w:rsidR="00594362" w:rsidRPr="00A93727" w14:paraId="3B5E66F7" w14:textId="77777777" w:rsidTr="00A81153">
        <w:trPr>
          <w:trHeight w:val="1060"/>
        </w:trPr>
        <w:tc>
          <w:tcPr>
            <w:tcW w:w="6629" w:type="dxa"/>
            <w:tcBorders>
              <w:top w:val="single" w:sz="4" w:space="0" w:color="auto"/>
              <w:left w:val="single" w:sz="4" w:space="0" w:color="auto"/>
              <w:bottom w:val="single" w:sz="4" w:space="0" w:color="auto"/>
              <w:right w:val="single" w:sz="4" w:space="0" w:color="auto"/>
            </w:tcBorders>
          </w:tcPr>
          <w:p w14:paraId="3FCD6FB6" w14:textId="77777777" w:rsidR="00594362" w:rsidRPr="00A93727" w:rsidRDefault="00594362" w:rsidP="00594362">
            <w:pPr>
              <w:pStyle w:val="ListParagraph"/>
              <w:numPr>
                <w:ilvl w:val="0"/>
                <w:numId w:val="3"/>
              </w:numPr>
              <w:tabs>
                <w:tab w:val="left" w:pos="720"/>
              </w:tabs>
              <w:spacing w:after="160" w:line="252" w:lineRule="auto"/>
              <w:rPr>
                <w:rFonts w:cs="Arial"/>
                <w:color w:val="auto"/>
                <w:lang w:eastAsia="en-US"/>
              </w:rPr>
            </w:pPr>
            <w:r w:rsidRPr="00A93727">
              <w:rPr>
                <w:rFonts w:cs="Arial"/>
                <w:color w:val="auto"/>
                <w:lang w:eastAsia="en-US"/>
              </w:rPr>
              <w:t>That future complaints handling reports include benchmarking data from other housing providers, particularly those operating at a local level, to help assess the Council’s performance in context and support continuous improvement.</w:t>
            </w:r>
          </w:p>
        </w:tc>
        <w:tc>
          <w:tcPr>
            <w:tcW w:w="1134" w:type="dxa"/>
            <w:tcBorders>
              <w:top w:val="single" w:sz="4" w:space="0" w:color="auto"/>
              <w:left w:val="single" w:sz="4" w:space="0" w:color="auto"/>
              <w:bottom w:val="single" w:sz="4" w:space="0" w:color="auto"/>
              <w:right w:val="single" w:sz="4" w:space="0" w:color="auto"/>
            </w:tcBorders>
          </w:tcPr>
          <w:p w14:paraId="4743677E" w14:textId="77777777" w:rsidR="00594362" w:rsidRPr="00A93727" w:rsidRDefault="00594362" w:rsidP="00A81153">
            <w:r w:rsidRPr="00A93727">
              <w:t>Yes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FE62676" w14:textId="77777777" w:rsidR="00594362" w:rsidRPr="00A93727" w:rsidRDefault="00594362" w:rsidP="00A81153">
            <w:pPr>
              <w:spacing w:line="259" w:lineRule="auto"/>
            </w:pPr>
            <w:r w:rsidRPr="00A93727">
              <w:t>The 2025/26 Annual Complaint Performance &amp; Service Improvement Report will include benchmarking data with other registered providers of social housing, with a focus on those operating in the Oxford area.</w:t>
            </w:r>
          </w:p>
        </w:tc>
      </w:tr>
    </w:tbl>
    <w:p w14:paraId="7955FE92" w14:textId="77777777" w:rsidR="008A22C6" w:rsidRPr="00A93727" w:rsidRDefault="008A22C6" w:rsidP="008A22C6"/>
    <w:p w14:paraId="38FCE2D4" w14:textId="58969EA1" w:rsidR="00056040" w:rsidRPr="00A93727" w:rsidRDefault="00056040">
      <w:pPr>
        <w:spacing w:after="0"/>
      </w:pPr>
      <w:r w:rsidRPr="00A93727">
        <w:br w:type="page"/>
      </w:r>
    </w:p>
    <w:p w14:paraId="4B787422" w14:textId="6610219F" w:rsidR="00056040" w:rsidRPr="004E5475" w:rsidRDefault="00056040" w:rsidP="00056040">
      <w:pPr>
        <w:ind w:left="-142"/>
        <w:rPr>
          <w:b/>
          <w:sz w:val="28"/>
        </w:rPr>
      </w:pPr>
      <w:r>
        <w:rPr>
          <w:b/>
          <w:sz w:val="28"/>
        </w:rPr>
        <w:lastRenderedPageBreak/>
        <w:t xml:space="preserve">Table 3 – </w:t>
      </w:r>
      <w:r w:rsidRPr="00930989">
        <w:rPr>
          <w:b/>
          <w:sz w:val="28"/>
        </w:rPr>
        <w:t xml:space="preserve">Cabinet response to the list of Scrutiny recommendations in </w:t>
      </w:r>
      <w:r>
        <w:rPr>
          <w:b/>
          <w:sz w:val="28"/>
        </w:rPr>
        <w:t>July</w:t>
      </w:r>
      <w:r w:rsidRPr="00930989">
        <w:rPr>
          <w:b/>
          <w:sz w:val="28"/>
        </w:rPr>
        <w:t xml:space="preserve"> 2025</w:t>
      </w:r>
    </w:p>
    <w:p w14:paraId="670C0D20" w14:textId="77777777" w:rsidR="00056040" w:rsidRPr="00422FED" w:rsidRDefault="00056040" w:rsidP="00056040">
      <w:pPr>
        <w:rPr>
          <w:b/>
        </w:rPr>
      </w:pPr>
    </w:p>
    <w:p w14:paraId="54606E20" w14:textId="4E3F93B1" w:rsidR="00056040" w:rsidRPr="00422FED" w:rsidRDefault="00056040" w:rsidP="00422FED">
      <w:r w:rsidRPr="00422FED">
        <w:t xml:space="preserve">The table below sets out the response of the Cabinet Member to recommendations made or endorsed by the Scrutiny Committee during its meeting on 1 July 2025. </w:t>
      </w:r>
    </w:p>
    <w:p w14:paraId="126D91E0" w14:textId="77777777" w:rsidR="00056040" w:rsidRPr="00422FED" w:rsidRDefault="00056040" w:rsidP="00422FED"/>
    <w:p w14:paraId="1EEB2209" w14:textId="77777777" w:rsidR="00DB356A" w:rsidRPr="00422FED" w:rsidRDefault="00DB356A" w:rsidP="00422FED">
      <w:pPr>
        <w:rPr>
          <w:b/>
          <w:bCs/>
        </w:rPr>
      </w:pPr>
      <w:r w:rsidRPr="00422FED">
        <w:rPr>
          <w:b/>
          <w:bCs/>
        </w:rPr>
        <w:t xml:space="preserve">Annual Review of the Housing, Homelessness &amp; Rough Sleeping Strategy 2023-28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4453C2" w:rsidRPr="00422FED" w14:paraId="11FA4444" w14:textId="77777777" w:rsidTr="004453C2">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8D0338" w14:textId="77777777" w:rsidR="004453C2" w:rsidRPr="00422FED" w:rsidRDefault="004453C2" w:rsidP="00EB20A3">
            <w:pPr>
              <w:rPr>
                <w:b/>
                <w:bCs/>
                <w:i/>
                <w:iCs/>
              </w:rPr>
            </w:pPr>
            <w:r w:rsidRPr="00422FED">
              <w:rPr>
                <w:b/>
                <w:bCs/>
                <w:i/>
                <w:iCs/>
              </w:rPr>
              <w:t>Recommendations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C12861" w14:textId="77777777" w:rsidR="004453C2" w:rsidRPr="00422FED" w:rsidRDefault="004453C2" w:rsidP="00EB20A3">
            <w:pPr>
              <w:rPr>
                <w:b/>
                <w:bCs/>
                <w:i/>
                <w:iCs/>
              </w:rPr>
            </w:pPr>
            <w:r w:rsidRPr="00422FED">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36CB15" w14:textId="77777777" w:rsidR="004453C2" w:rsidRPr="00422FED" w:rsidRDefault="004453C2" w:rsidP="00EB20A3">
            <w:pPr>
              <w:rPr>
                <w:b/>
                <w:bCs/>
                <w:i/>
                <w:iCs/>
              </w:rPr>
            </w:pPr>
            <w:r w:rsidRPr="00422FED">
              <w:rPr>
                <w:b/>
                <w:bCs/>
                <w:i/>
                <w:iCs/>
              </w:rPr>
              <w:t>Comment</w:t>
            </w:r>
          </w:p>
        </w:tc>
      </w:tr>
      <w:tr w:rsidR="004453C2" w:rsidRPr="00422FED" w14:paraId="260D3EA5" w14:textId="77777777" w:rsidTr="004453C2">
        <w:trPr>
          <w:trHeight w:val="1060"/>
        </w:trPr>
        <w:tc>
          <w:tcPr>
            <w:tcW w:w="6629" w:type="dxa"/>
            <w:tcBorders>
              <w:top w:val="single" w:sz="4" w:space="0" w:color="auto"/>
              <w:left w:val="single" w:sz="4" w:space="0" w:color="auto"/>
              <w:bottom w:val="single" w:sz="4" w:space="0" w:color="auto"/>
              <w:right w:val="single" w:sz="4" w:space="0" w:color="auto"/>
            </w:tcBorders>
          </w:tcPr>
          <w:p w14:paraId="4919AC69" w14:textId="77777777" w:rsidR="004453C2" w:rsidRPr="00422FED" w:rsidRDefault="004453C2" w:rsidP="004453C2">
            <w:pPr>
              <w:pStyle w:val="ListParagraph"/>
              <w:numPr>
                <w:ilvl w:val="0"/>
                <w:numId w:val="15"/>
              </w:numPr>
              <w:tabs>
                <w:tab w:val="left" w:pos="720"/>
              </w:tabs>
              <w:spacing w:after="160" w:line="252" w:lineRule="auto"/>
              <w:rPr>
                <w:rFonts w:cs="Arial"/>
                <w:color w:val="auto"/>
                <w:lang w:eastAsia="en-US"/>
              </w:rPr>
            </w:pPr>
            <w:r w:rsidRPr="00422FED">
              <w:rPr>
                <w:rFonts w:cs="Arial"/>
                <w:color w:val="auto"/>
                <w:lang w:eastAsia="en-US"/>
              </w:rPr>
              <w:t>That Cabinet continue to actively lobby against changes to local government funding for homelessness services, particularly those that would result in significant funding reductions for Oxford and other local authorities with high levels of homelessness.</w:t>
            </w:r>
          </w:p>
        </w:tc>
        <w:tc>
          <w:tcPr>
            <w:tcW w:w="1134" w:type="dxa"/>
            <w:tcBorders>
              <w:top w:val="single" w:sz="4" w:space="0" w:color="auto"/>
              <w:left w:val="single" w:sz="4" w:space="0" w:color="auto"/>
              <w:bottom w:val="single" w:sz="4" w:space="0" w:color="auto"/>
              <w:right w:val="single" w:sz="4" w:space="0" w:color="auto"/>
            </w:tcBorders>
          </w:tcPr>
          <w:p w14:paraId="78F80B76" w14:textId="77777777" w:rsidR="004453C2" w:rsidRPr="00422FED" w:rsidRDefault="004453C2" w:rsidP="00EB20A3">
            <w:r w:rsidRPr="00422FED">
              <w:rPr>
                <w:rFonts w:cs="Arial"/>
              </w:rPr>
              <w:t>Yes</w:t>
            </w:r>
          </w:p>
        </w:tc>
        <w:tc>
          <w:tcPr>
            <w:tcW w:w="6520" w:type="dxa"/>
            <w:tcBorders>
              <w:top w:val="single" w:sz="4" w:space="0" w:color="auto"/>
              <w:left w:val="single" w:sz="4" w:space="0" w:color="auto"/>
              <w:bottom w:val="single" w:sz="4" w:space="0" w:color="auto"/>
              <w:right w:val="single" w:sz="4" w:space="0" w:color="auto"/>
            </w:tcBorders>
          </w:tcPr>
          <w:p w14:paraId="5EDCAD78" w14:textId="77777777" w:rsidR="004453C2" w:rsidRPr="00422FED" w:rsidRDefault="004453C2" w:rsidP="00EB20A3">
            <w:pPr>
              <w:rPr>
                <w:rFonts w:cs="Arial"/>
              </w:rPr>
            </w:pPr>
            <w:r w:rsidRPr="00422FED">
              <w:rPr>
                <w:rFonts w:cs="Arial"/>
              </w:rPr>
              <w:t>Cabinet will continue to use opportunities to influence the governments approach to funding for homelessness services, and where proposed changes are detrimental to Oxford we will make the case for the support we need from central government for local services.</w:t>
            </w:r>
          </w:p>
          <w:p w14:paraId="52F7BB52" w14:textId="77777777" w:rsidR="004453C2" w:rsidRPr="00422FED" w:rsidRDefault="004453C2" w:rsidP="00EB20A3">
            <w:pPr>
              <w:rPr>
                <w:rFonts w:cs="Arial"/>
              </w:rPr>
            </w:pPr>
            <w:r w:rsidRPr="00422FED">
              <w:rPr>
                <w:rFonts w:cs="Arial"/>
              </w:rPr>
              <w:t>Recently Officers completed a formal consultation response to the government’s proposed changes to the Homelessness Prevention Grant formula which if implemented would result in the reduction of funding to Oxford City Council and other Local Authorities with a similar profile. The Cabinet Member for Housing and Communities also wrote to the Deputy Prime Minister to raise these points.</w:t>
            </w:r>
          </w:p>
          <w:p w14:paraId="04DA13C2" w14:textId="77777777" w:rsidR="004453C2" w:rsidRPr="00422FED" w:rsidRDefault="004453C2" w:rsidP="00EB20A3">
            <w:r w:rsidRPr="00422FED">
              <w:rPr>
                <w:rFonts w:cs="Arial"/>
              </w:rPr>
              <w:t>The Government has confirmed in their response to the consultation that the planned changes will still go ahead, but there have been amendments which will mitigate some of the reductions for the Council based on the response of Oxford and other Local Authorities. The Council will continue to look for opportunities to lobby government on key issues that affect the Council and residents.</w:t>
            </w:r>
          </w:p>
        </w:tc>
      </w:tr>
      <w:tr w:rsidR="004453C2" w:rsidRPr="00422FED" w14:paraId="52FED055" w14:textId="77777777" w:rsidTr="004453C2">
        <w:trPr>
          <w:trHeight w:val="1060"/>
        </w:trPr>
        <w:tc>
          <w:tcPr>
            <w:tcW w:w="6629" w:type="dxa"/>
            <w:tcBorders>
              <w:top w:val="single" w:sz="4" w:space="0" w:color="auto"/>
              <w:left w:val="single" w:sz="4" w:space="0" w:color="auto"/>
              <w:bottom w:val="single" w:sz="4" w:space="0" w:color="auto"/>
              <w:right w:val="single" w:sz="4" w:space="0" w:color="auto"/>
            </w:tcBorders>
          </w:tcPr>
          <w:p w14:paraId="652913C9" w14:textId="77777777" w:rsidR="004453C2" w:rsidRPr="00422FED" w:rsidRDefault="004453C2" w:rsidP="004453C2">
            <w:pPr>
              <w:pStyle w:val="ListParagraph"/>
              <w:numPr>
                <w:ilvl w:val="0"/>
                <w:numId w:val="15"/>
              </w:numPr>
              <w:tabs>
                <w:tab w:val="left" w:pos="426"/>
                <w:tab w:val="left" w:pos="720"/>
              </w:tabs>
              <w:spacing w:after="160" w:line="252" w:lineRule="auto"/>
              <w:rPr>
                <w:rFonts w:cs="Arial"/>
              </w:rPr>
            </w:pPr>
            <w:r w:rsidRPr="00422FED">
              <w:rPr>
                <w:rFonts w:cs="Arial"/>
              </w:rPr>
              <w:lastRenderedPageBreak/>
              <w:t>That Council explore all available measures to safeguard tenants from unjust or revenge evictions pending the passage of the Renters’ Rights Bill.</w:t>
            </w:r>
          </w:p>
        </w:tc>
        <w:tc>
          <w:tcPr>
            <w:tcW w:w="1134" w:type="dxa"/>
            <w:tcBorders>
              <w:top w:val="single" w:sz="4" w:space="0" w:color="auto"/>
              <w:left w:val="single" w:sz="4" w:space="0" w:color="auto"/>
              <w:bottom w:val="single" w:sz="4" w:space="0" w:color="auto"/>
              <w:right w:val="single" w:sz="4" w:space="0" w:color="auto"/>
            </w:tcBorders>
          </w:tcPr>
          <w:p w14:paraId="73E8E9AC" w14:textId="77777777" w:rsidR="004453C2" w:rsidRPr="00422FED" w:rsidRDefault="004453C2" w:rsidP="00EB20A3">
            <w:r w:rsidRPr="00422FED">
              <w:rPr>
                <w:rFonts w:cs="Arial"/>
              </w:rPr>
              <w:t>Yes</w:t>
            </w:r>
          </w:p>
        </w:tc>
        <w:tc>
          <w:tcPr>
            <w:tcW w:w="6520" w:type="dxa"/>
            <w:tcBorders>
              <w:top w:val="single" w:sz="4" w:space="0" w:color="auto"/>
              <w:left w:val="single" w:sz="4" w:space="0" w:color="auto"/>
              <w:bottom w:val="single" w:sz="4" w:space="0" w:color="auto"/>
              <w:right w:val="single" w:sz="4" w:space="0" w:color="auto"/>
            </w:tcBorders>
          </w:tcPr>
          <w:p w14:paraId="49595BA7" w14:textId="77777777" w:rsidR="004453C2" w:rsidRPr="00422FED" w:rsidRDefault="004453C2" w:rsidP="00EB20A3">
            <w:pPr>
              <w:rPr>
                <w:rFonts w:cs="Arial"/>
              </w:rPr>
            </w:pPr>
            <w:r w:rsidRPr="00422FED">
              <w:rPr>
                <w:rFonts w:cs="Arial"/>
              </w:rPr>
              <w:t xml:space="preserve">The Council continues to support tenants to ensure that they are protected from unjust or revenge evictions under current provisions within the law and will raise awareness and support tenants to use the new protections within the Renters’ Rights Bill once its agreed and implemented. </w:t>
            </w:r>
          </w:p>
          <w:p w14:paraId="041DEC5D" w14:textId="77777777" w:rsidR="004453C2" w:rsidRPr="00422FED" w:rsidRDefault="004453C2" w:rsidP="00EB20A3">
            <w:pPr>
              <w:rPr>
                <w:rFonts w:cs="Arial"/>
              </w:rPr>
            </w:pPr>
            <w:r w:rsidRPr="00422FED">
              <w:rPr>
                <w:rFonts w:cs="Arial"/>
              </w:rPr>
              <w:t xml:space="preserve">Alongside reactive engagement with tenants who have made complaints regarding their property and landlord, the Council continues to employ a Tenancy Relations Officer (TRO) who’s specialist area of work is to support tenants who have complaints against their landlord, for example allegations of threats or harassment. The TRO offers a weekly face to face drop in for residents and can take enforcement action under the Prevention from Eviction Act 1977 to prevent illegal evictions if necessary. </w:t>
            </w:r>
          </w:p>
          <w:p w14:paraId="0B016555" w14:textId="77777777" w:rsidR="004453C2" w:rsidRPr="00422FED" w:rsidRDefault="004453C2" w:rsidP="00EB20A3">
            <w:pPr>
              <w:rPr>
                <w:rFonts w:cs="Arial"/>
              </w:rPr>
            </w:pPr>
            <w:r w:rsidRPr="00422FED">
              <w:rPr>
                <w:rFonts w:cs="Arial"/>
              </w:rPr>
              <w:t xml:space="preserve">Alongside supporting tenants, the Council is also focused on engaging and supporting landlords to following the correct process when renting out their property. We have launched the ‘Call B4 You Serve’ - landlord advice and mediation service, which provides a dedicated Officer for landlords to contact to provide upstream advice to resolve and mediate between tenants and landlords to avoid evictions and homelessness. </w:t>
            </w:r>
          </w:p>
          <w:p w14:paraId="4F993489" w14:textId="77777777" w:rsidR="004453C2" w:rsidRPr="00422FED" w:rsidRDefault="004453C2" w:rsidP="00EB20A3">
            <w:r w:rsidRPr="00422FED">
              <w:rPr>
                <w:rFonts w:cs="Arial"/>
              </w:rPr>
              <w:t xml:space="preserve">In preparation for the Renters’ Rights Bill, Officers have launched a cross department working group to improve training and develop changes to services in preparation for the implementation of the new legislation if it becomes law. </w:t>
            </w:r>
          </w:p>
        </w:tc>
      </w:tr>
    </w:tbl>
    <w:p w14:paraId="1C951F8C" w14:textId="77777777" w:rsidR="00DB356A" w:rsidRPr="00422FED" w:rsidRDefault="00DB356A" w:rsidP="00794A9A">
      <w:pPr>
        <w:ind w:left="-142"/>
        <w:rPr>
          <w:b/>
          <w:bCs/>
        </w:rPr>
      </w:pPr>
    </w:p>
    <w:p w14:paraId="1BBFC396" w14:textId="2C999FD3" w:rsidR="00794A9A" w:rsidRPr="00422FED" w:rsidRDefault="00794A9A" w:rsidP="00BB2515">
      <w:pPr>
        <w:keepNext/>
        <w:keepLines/>
        <w:rPr>
          <w:b/>
          <w:bCs/>
        </w:rPr>
      </w:pPr>
      <w:r w:rsidRPr="00422FED">
        <w:rPr>
          <w:b/>
          <w:bCs/>
        </w:rPr>
        <w:lastRenderedPageBreak/>
        <w:t>Domestic Abuse Policy for Service Users</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8E317F" w:rsidRPr="00043375" w14:paraId="6CA23252" w14:textId="77777777" w:rsidTr="008E317F">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3FF84A" w14:textId="77777777" w:rsidR="008E317F" w:rsidRPr="00043375" w:rsidRDefault="008E317F" w:rsidP="00BB2515">
            <w:pPr>
              <w:keepNext/>
              <w:keepLines/>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529B1" w14:textId="77777777" w:rsidR="008E317F" w:rsidRPr="00043375" w:rsidRDefault="008E317F" w:rsidP="00BB2515">
            <w:pPr>
              <w:keepNext/>
              <w:keepLines/>
              <w:rPr>
                <w:b/>
                <w:i/>
              </w:rPr>
            </w:pPr>
            <w:r w:rsidRPr="00043375">
              <w:rPr>
                <w:b/>
                <w:i/>
              </w:rPr>
              <w:t xml:space="preserve">Agree? </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D3A0D" w14:textId="77777777" w:rsidR="008E317F" w:rsidRPr="00043375" w:rsidRDefault="008E317F" w:rsidP="00BB2515">
            <w:pPr>
              <w:keepNext/>
              <w:keepLines/>
              <w:rPr>
                <w:b/>
                <w:i/>
              </w:rPr>
            </w:pPr>
            <w:r w:rsidRPr="00043375">
              <w:rPr>
                <w:b/>
                <w:i/>
              </w:rPr>
              <w:t>Comment</w:t>
            </w:r>
          </w:p>
        </w:tc>
      </w:tr>
      <w:tr w:rsidR="006E40D6" w:rsidRPr="00043375" w14:paraId="3BBCFCBE" w14:textId="77777777" w:rsidTr="008E317F">
        <w:trPr>
          <w:trHeight w:val="1060"/>
        </w:trPr>
        <w:tc>
          <w:tcPr>
            <w:tcW w:w="6629" w:type="dxa"/>
            <w:tcBorders>
              <w:top w:val="single" w:sz="4" w:space="0" w:color="auto"/>
              <w:left w:val="single" w:sz="4" w:space="0" w:color="auto"/>
              <w:bottom w:val="single" w:sz="4" w:space="0" w:color="auto"/>
              <w:right w:val="single" w:sz="4" w:space="0" w:color="auto"/>
            </w:tcBorders>
          </w:tcPr>
          <w:p w14:paraId="2571574C" w14:textId="77777777" w:rsidR="006E40D6" w:rsidRPr="007074C4" w:rsidRDefault="006E40D6" w:rsidP="006E40D6">
            <w:pPr>
              <w:pStyle w:val="ListParagraph"/>
              <w:keepNext/>
              <w:keepLines/>
              <w:numPr>
                <w:ilvl w:val="0"/>
                <w:numId w:val="16"/>
              </w:numPr>
              <w:tabs>
                <w:tab w:val="left" w:pos="720"/>
              </w:tabs>
              <w:spacing w:after="160" w:line="252" w:lineRule="auto"/>
              <w:rPr>
                <w:rFonts w:cs="Arial"/>
                <w:color w:val="auto"/>
                <w:lang w:eastAsia="en-US"/>
              </w:rPr>
            </w:pPr>
            <w:r w:rsidRPr="66BCBA20">
              <w:rPr>
                <w:rFonts w:cs="Arial"/>
                <w:color w:val="auto"/>
                <w:lang w:eastAsia="en-US"/>
              </w:rPr>
              <w:t>That there is explicit recognition under section 3, Diversity Implications, of the way in which national immigration policy makes people less likely to disclose domestic violence, given Oxford’s status as a Council of Sanctuary, it is especially important to acknowledge how national policy can harm the efforts of local authorities to build inclusive and safe communities.</w:t>
            </w:r>
          </w:p>
        </w:tc>
        <w:tc>
          <w:tcPr>
            <w:tcW w:w="1134" w:type="dxa"/>
            <w:tcBorders>
              <w:top w:val="single" w:sz="4" w:space="0" w:color="auto"/>
              <w:left w:val="single" w:sz="4" w:space="0" w:color="auto"/>
              <w:bottom w:val="single" w:sz="4" w:space="0" w:color="auto"/>
              <w:right w:val="single" w:sz="4" w:space="0" w:color="auto"/>
            </w:tcBorders>
          </w:tcPr>
          <w:p w14:paraId="082EBA7B" w14:textId="1932DD3D" w:rsidR="006E40D6" w:rsidRPr="007074C4" w:rsidRDefault="006E40D6" w:rsidP="006E40D6">
            <w:pPr>
              <w:keepNext/>
              <w:keepLines/>
            </w:pPr>
            <w:r>
              <w:t>In-part</w:t>
            </w:r>
          </w:p>
        </w:tc>
        <w:tc>
          <w:tcPr>
            <w:tcW w:w="6520" w:type="dxa"/>
            <w:tcBorders>
              <w:top w:val="single" w:sz="4" w:space="0" w:color="auto"/>
              <w:left w:val="single" w:sz="4" w:space="0" w:color="auto"/>
              <w:bottom w:val="single" w:sz="4" w:space="0" w:color="auto"/>
              <w:right w:val="single" w:sz="4" w:space="0" w:color="auto"/>
            </w:tcBorders>
          </w:tcPr>
          <w:p w14:paraId="4F5E2222" w14:textId="77777777" w:rsidR="006E40D6" w:rsidRPr="007074C4" w:rsidRDefault="006E40D6" w:rsidP="006E40D6">
            <w:r>
              <w:t>Partially – to include an additional bullet point in S3.4 of the DA Policy for Service users: Fear of deportation</w:t>
            </w:r>
          </w:p>
          <w:p w14:paraId="03B4B92F" w14:textId="69505C4C" w:rsidR="006E40D6" w:rsidRPr="007074C4" w:rsidRDefault="006E40D6" w:rsidP="006E40D6">
            <w:pPr>
              <w:keepNext/>
              <w:keepLines/>
            </w:pPr>
            <w:r>
              <w:t>This will be in line with the style of the policy and informs service users (the policy will be on our website) that the City Council validates the victim/survivors concerns and will support them.</w:t>
            </w:r>
          </w:p>
        </w:tc>
      </w:tr>
    </w:tbl>
    <w:p w14:paraId="2550687F" w14:textId="1EB0E006" w:rsidR="00056040" w:rsidRPr="00422FED" w:rsidRDefault="00056040" w:rsidP="00794A9A">
      <w:pPr>
        <w:ind w:left="-142"/>
      </w:pPr>
    </w:p>
    <w:p w14:paraId="77CD7E28" w14:textId="27EDE692" w:rsidR="00567128" w:rsidRPr="00422FED" w:rsidRDefault="00567128" w:rsidP="00422FED">
      <w:pPr>
        <w:rPr>
          <w:b/>
          <w:bCs/>
        </w:rPr>
      </w:pPr>
      <w:r w:rsidRPr="00422FED">
        <w:rPr>
          <w:b/>
          <w:bCs/>
        </w:rPr>
        <w:t xml:space="preserve">Tourism </w:t>
      </w:r>
      <w:r w:rsidR="0021177B">
        <w:rPr>
          <w:b/>
          <w:bCs/>
        </w:rPr>
        <w:t>(and Accommodation Business Improvement District)</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8E317F" w:rsidRPr="00043375" w14:paraId="232AA847" w14:textId="77777777" w:rsidTr="008E317F">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9B3E79" w14:textId="77777777" w:rsidR="008E317F" w:rsidRPr="00043375" w:rsidRDefault="008E317F" w:rsidP="00EB20A3">
            <w:pPr>
              <w:rPr>
                <w:b/>
                <w:bCs/>
                <w:i/>
                <w:iCs/>
              </w:rPr>
            </w:pPr>
            <w:r w:rsidRPr="7CDA5FD0">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8627B" w14:textId="77777777" w:rsidR="008E317F" w:rsidRPr="00043375" w:rsidRDefault="008E317F" w:rsidP="00EB20A3">
            <w:pPr>
              <w:rPr>
                <w:b/>
                <w:i/>
              </w:rPr>
            </w:pPr>
            <w:r w:rsidRPr="00043375">
              <w:rPr>
                <w:b/>
                <w:i/>
              </w:rPr>
              <w:t xml:space="preserve">Agree? </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A6B6D7" w14:textId="77777777" w:rsidR="008E317F" w:rsidRPr="00043375" w:rsidRDefault="008E317F" w:rsidP="00EB20A3">
            <w:pPr>
              <w:rPr>
                <w:b/>
                <w:i/>
              </w:rPr>
            </w:pPr>
            <w:r w:rsidRPr="00043375">
              <w:rPr>
                <w:b/>
                <w:i/>
              </w:rPr>
              <w:t>Comment</w:t>
            </w:r>
          </w:p>
        </w:tc>
      </w:tr>
      <w:tr w:rsidR="00585680" w:rsidRPr="00043375" w14:paraId="5E844389" w14:textId="77777777" w:rsidTr="008E317F">
        <w:trPr>
          <w:trHeight w:val="1060"/>
        </w:trPr>
        <w:tc>
          <w:tcPr>
            <w:tcW w:w="6629" w:type="dxa"/>
            <w:tcBorders>
              <w:top w:val="single" w:sz="4" w:space="0" w:color="auto"/>
              <w:left w:val="single" w:sz="4" w:space="0" w:color="auto"/>
              <w:bottom w:val="single" w:sz="4" w:space="0" w:color="auto"/>
              <w:right w:val="single" w:sz="4" w:space="0" w:color="auto"/>
            </w:tcBorders>
          </w:tcPr>
          <w:p w14:paraId="36866E2E" w14:textId="77777777" w:rsidR="00585680" w:rsidRPr="007074C4" w:rsidRDefault="00585680" w:rsidP="00585680">
            <w:pPr>
              <w:pStyle w:val="ListParagraph"/>
              <w:numPr>
                <w:ilvl w:val="0"/>
                <w:numId w:val="17"/>
              </w:numPr>
              <w:tabs>
                <w:tab w:val="left" w:pos="720"/>
              </w:tabs>
              <w:spacing w:after="160" w:line="252" w:lineRule="auto"/>
              <w:rPr>
                <w:rFonts w:cs="Arial"/>
                <w:color w:val="auto"/>
                <w:lang w:eastAsia="en-US"/>
              </w:rPr>
            </w:pPr>
            <w:r w:rsidRPr="66BCBA20">
              <w:rPr>
                <w:rFonts w:cs="Arial"/>
                <w:color w:val="auto"/>
                <w:lang w:eastAsia="en-US"/>
              </w:rPr>
              <w:t xml:space="preserve">That the Council take further steps to publicise the locations of public toilets that are accessible to visitors and residents alike, such as those in the Town Hall and other public buildings. </w:t>
            </w:r>
          </w:p>
        </w:tc>
        <w:tc>
          <w:tcPr>
            <w:tcW w:w="1134" w:type="dxa"/>
            <w:tcBorders>
              <w:top w:val="single" w:sz="4" w:space="0" w:color="auto"/>
              <w:left w:val="single" w:sz="4" w:space="0" w:color="auto"/>
              <w:bottom w:val="single" w:sz="4" w:space="0" w:color="auto"/>
              <w:right w:val="single" w:sz="4" w:space="0" w:color="auto"/>
            </w:tcBorders>
          </w:tcPr>
          <w:p w14:paraId="5E3DB200" w14:textId="7B3460C8" w:rsidR="00585680" w:rsidRPr="007074C4" w:rsidRDefault="00585680" w:rsidP="00585680">
            <w:r>
              <w:t>Yes</w:t>
            </w:r>
          </w:p>
        </w:tc>
        <w:tc>
          <w:tcPr>
            <w:tcW w:w="6520" w:type="dxa"/>
            <w:tcBorders>
              <w:top w:val="single" w:sz="4" w:space="0" w:color="auto"/>
              <w:left w:val="single" w:sz="4" w:space="0" w:color="auto"/>
              <w:bottom w:val="single" w:sz="4" w:space="0" w:color="auto"/>
              <w:right w:val="single" w:sz="4" w:space="0" w:color="auto"/>
            </w:tcBorders>
          </w:tcPr>
          <w:p w14:paraId="7FE29B4A" w14:textId="62541930" w:rsidR="00585680" w:rsidRPr="007074C4" w:rsidRDefault="00585680" w:rsidP="00585680">
            <w:pPr>
              <w:spacing w:line="259" w:lineRule="auto"/>
            </w:pPr>
            <w:r>
              <w:t xml:space="preserve">The Council will ensure that public toilets are publicised on the widest possible range of information providers online and in physical form such as signs and posters. </w:t>
            </w:r>
          </w:p>
        </w:tc>
      </w:tr>
      <w:tr w:rsidR="00585680" w:rsidRPr="00043375" w14:paraId="274506E2" w14:textId="77777777" w:rsidTr="008E317F">
        <w:trPr>
          <w:trHeight w:val="1060"/>
        </w:trPr>
        <w:tc>
          <w:tcPr>
            <w:tcW w:w="6629" w:type="dxa"/>
            <w:tcBorders>
              <w:top w:val="single" w:sz="4" w:space="0" w:color="auto"/>
              <w:left w:val="single" w:sz="4" w:space="0" w:color="auto"/>
              <w:bottom w:val="single" w:sz="4" w:space="0" w:color="auto"/>
              <w:right w:val="single" w:sz="4" w:space="0" w:color="auto"/>
            </w:tcBorders>
          </w:tcPr>
          <w:p w14:paraId="131FB624" w14:textId="77777777" w:rsidR="00585680" w:rsidRPr="007074C4" w:rsidRDefault="00585680" w:rsidP="00585680">
            <w:pPr>
              <w:pStyle w:val="ListParagraph"/>
              <w:numPr>
                <w:ilvl w:val="0"/>
                <w:numId w:val="17"/>
              </w:numPr>
              <w:tabs>
                <w:tab w:val="left" w:pos="426"/>
                <w:tab w:val="left" w:pos="720"/>
              </w:tabs>
              <w:spacing w:after="160" w:line="252" w:lineRule="auto"/>
              <w:rPr>
                <w:rFonts w:cs="Arial"/>
              </w:rPr>
            </w:pPr>
            <w:r w:rsidRPr="66BCBA20">
              <w:rPr>
                <w:rFonts w:cs="Arial"/>
              </w:rPr>
              <w:t xml:space="preserve">That Council encourage the highest possible level of elected representation within the ABID task groups, within the constraints of the scheme, </w:t>
            </w:r>
            <w:proofErr w:type="gramStart"/>
            <w:r w:rsidRPr="66BCBA20">
              <w:rPr>
                <w:rFonts w:cs="Arial"/>
              </w:rPr>
              <w:t>in order to</w:t>
            </w:r>
            <w:proofErr w:type="gramEnd"/>
            <w:r w:rsidRPr="66BCBA20">
              <w:rPr>
                <w:rFonts w:cs="Arial"/>
              </w:rPr>
              <w:t xml:space="preserve"> promote democratic accountability, recognising the Council’s role as the scheme’s facilitator.</w:t>
            </w:r>
          </w:p>
        </w:tc>
        <w:tc>
          <w:tcPr>
            <w:tcW w:w="1134" w:type="dxa"/>
            <w:tcBorders>
              <w:top w:val="single" w:sz="4" w:space="0" w:color="auto"/>
              <w:left w:val="single" w:sz="4" w:space="0" w:color="auto"/>
              <w:bottom w:val="single" w:sz="4" w:space="0" w:color="auto"/>
              <w:right w:val="single" w:sz="4" w:space="0" w:color="auto"/>
            </w:tcBorders>
          </w:tcPr>
          <w:p w14:paraId="429B2E9D" w14:textId="5C86B513" w:rsidR="00585680" w:rsidRPr="007074C4" w:rsidRDefault="00585680" w:rsidP="00585680">
            <w:r>
              <w:t>Yes</w:t>
            </w:r>
          </w:p>
        </w:tc>
        <w:tc>
          <w:tcPr>
            <w:tcW w:w="6520" w:type="dxa"/>
            <w:tcBorders>
              <w:top w:val="single" w:sz="4" w:space="0" w:color="auto"/>
              <w:left w:val="single" w:sz="4" w:space="0" w:color="auto"/>
              <w:bottom w:val="single" w:sz="4" w:space="0" w:color="auto"/>
              <w:right w:val="single" w:sz="4" w:space="0" w:color="auto"/>
            </w:tcBorders>
          </w:tcPr>
          <w:p w14:paraId="565804F7" w14:textId="6C824598" w:rsidR="00585680" w:rsidRPr="007074C4" w:rsidRDefault="00585680" w:rsidP="00585680">
            <w:r>
              <w:t xml:space="preserve">The Council will continue its role as the scheme’s facilitator, supporting the work being done by the ABID decision makers, the accommodation providers themselves. The Task Group will be led by those decision makers, and they will ultimately determine its attendance. The Council will encourage the Task Groups to consider the most appropriate attendance from the City Council. </w:t>
            </w:r>
          </w:p>
        </w:tc>
      </w:tr>
    </w:tbl>
    <w:p w14:paraId="46BF01AC" w14:textId="77777777" w:rsidR="00F61F6D" w:rsidRPr="00422FED" w:rsidRDefault="00F61F6D" w:rsidP="00794A9A">
      <w:pPr>
        <w:ind w:left="-142"/>
        <w:rPr>
          <w:b/>
          <w:bCs/>
        </w:rPr>
      </w:pPr>
    </w:p>
    <w:p w14:paraId="6AB22F35" w14:textId="77777777" w:rsidR="00F61F6D" w:rsidRPr="00422FED" w:rsidRDefault="00F61F6D" w:rsidP="00BB2515">
      <w:pPr>
        <w:keepNext/>
        <w:keepLines/>
        <w:rPr>
          <w:b/>
          <w:bCs/>
        </w:rPr>
      </w:pPr>
      <w:r w:rsidRPr="00422FED">
        <w:rPr>
          <w:b/>
          <w:bCs/>
        </w:rPr>
        <w:lastRenderedPageBreak/>
        <w:t>Citizen Experience Strategy</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F561C1" w:rsidRPr="00043375" w14:paraId="1C9EF4CB" w14:textId="77777777" w:rsidTr="00F561C1">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C2391" w14:textId="77777777" w:rsidR="00F561C1" w:rsidRPr="00043375" w:rsidRDefault="00F561C1" w:rsidP="00BB2515">
            <w:pPr>
              <w:keepNext/>
              <w:keepLines/>
              <w:rPr>
                <w:b/>
                <w:i/>
              </w:rPr>
            </w:pPr>
            <w:r w:rsidRPr="00043375">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BD5148" w14:textId="77777777" w:rsidR="00F561C1" w:rsidRPr="00043375" w:rsidRDefault="00F561C1" w:rsidP="00BB2515">
            <w:pPr>
              <w:keepNext/>
              <w:keepLines/>
              <w:rPr>
                <w:b/>
                <w:i/>
              </w:rPr>
            </w:pPr>
            <w:r w:rsidRPr="00043375">
              <w:rPr>
                <w:b/>
                <w:i/>
              </w:rPr>
              <w:t xml:space="preserve">Agree? </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42EAB" w14:textId="77777777" w:rsidR="00F561C1" w:rsidRPr="00043375" w:rsidRDefault="00F561C1" w:rsidP="00BB2515">
            <w:pPr>
              <w:keepNext/>
              <w:keepLines/>
              <w:rPr>
                <w:b/>
                <w:i/>
              </w:rPr>
            </w:pPr>
            <w:r w:rsidRPr="00043375">
              <w:rPr>
                <w:b/>
                <w:i/>
              </w:rPr>
              <w:t>Comment</w:t>
            </w:r>
          </w:p>
        </w:tc>
      </w:tr>
      <w:tr w:rsidR="00AD7C05" w:rsidRPr="00043375" w14:paraId="11A3C0E0" w14:textId="77777777" w:rsidTr="00F561C1">
        <w:trPr>
          <w:trHeight w:val="1060"/>
        </w:trPr>
        <w:tc>
          <w:tcPr>
            <w:tcW w:w="6629" w:type="dxa"/>
            <w:tcBorders>
              <w:top w:val="single" w:sz="4" w:space="0" w:color="auto"/>
              <w:left w:val="single" w:sz="4" w:space="0" w:color="auto"/>
              <w:bottom w:val="single" w:sz="4" w:space="0" w:color="auto"/>
              <w:right w:val="single" w:sz="4" w:space="0" w:color="auto"/>
            </w:tcBorders>
          </w:tcPr>
          <w:p w14:paraId="1921D8E1" w14:textId="77777777" w:rsidR="00AD7C05" w:rsidRPr="007074C4" w:rsidRDefault="00AD7C05" w:rsidP="00AD7C05">
            <w:pPr>
              <w:pStyle w:val="ListParagraph"/>
              <w:keepNext/>
              <w:keepLines/>
              <w:numPr>
                <w:ilvl w:val="0"/>
                <w:numId w:val="18"/>
              </w:numPr>
              <w:tabs>
                <w:tab w:val="left" w:pos="720"/>
              </w:tabs>
              <w:spacing w:after="160" w:line="252" w:lineRule="auto"/>
              <w:rPr>
                <w:rFonts w:cs="Arial"/>
                <w:color w:val="auto"/>
                <w:lang w:eastAsia="en-US"/>
              </w:rPr>
            </w:pPr>
            <w:r w:rsidRPr="66BCBA20">
              <w:rPr>
                <w:rFonts w:cs="Arial"/>
                <w:color w:val="auto"/>
                <w:lang w:eastAsia="en-US"/>
              </w:rPr>
              <w:t>That Cabinet consider incorporating physical presence in future consultations, particularly in areas further outside the city centre, and undertake support of language interpreters where appropriate.</w:t>
            </w:r>
          </w:p>
        </w:tc>
        <w:tc>
          <w:tcPr>
            <w:tcW w:w="1134" w:type="dxa"/>
            <w:tcBorders>
              <w:top w:val="single" w:sz="4" w:space="0" w:color="auto"/>
              <w:left w:val="single" w:sz="4" w:space="0" w:color="auto"/>
              <w:bottom w:val="single" w:sz="4" w:space="0" w:color="auto"/>
              <w:right w:val="single" w:sz="4" w:space="0" w:color="auto"/>
            </w:tcBorders>
          </w:tcPr>
          <w:p w14:paraId="4289EE01" w14:textId="6783BBBF" w:rsidR="00AD7C05" w:rsidRPr="007074C4" w:rsidRDefault="00AD7C05" w:rsidP="00AD7C05">
            <w:pPr>
              <w:keepNext/>
              <w:keepLines/>
            </w:pPr>
            <w:r>
              <w:t>Yes</w:t>
            </w:r>
          </w:p>
        </w:tc>
        <w:tc>
          <w:tcPr>
            <w:tcW w:w="6520" w:type="dxa"/>
            <w:tcBorders>
              <w:top w:val="single" w:sz="4" w:space="0" w:color="auto"/>
              <w:left w:val="single" w:sz="4" w:space="0" w:color="auto"/>
              <w:bottom w:val="single" w:sz="4" w:space="0" w:color="auto"/>
              <w:right w:val="single" w:sz="4" w:space="0" w:color="auto"/>
            </w:tcBorders>
          </w:tcPr>
          <w:p w14:paraId="407C7408" w14:textId="43C67D81" w:rsidR="00AD7C05" w:rsidRPr="007074C4" w:rsidRDefault="00AD7C05" w:rsidP="00AD7C05">
            <w:pPr>
              <w:keepNext/>
              <w:keepLines/>
            </w:pPr>
            <w:r w:rsidRPr="00C54042">
              <w:rPr>
                <w:rFonts w:eastAsia="Aptos" w:cs="Arial"/>
                <w:color w:val="000000" w:themeColor="text1"/>
              </w:rPr>
              <w:t>This is best included in the Council's Citizen and Community Engagement Policy, scheduled for Cabinet in September 2025.</w:t>
            </w:r>
          </w:p>
        </w:tc>
      </w:tr>
      <w:tr w:rsidR="00AD7C05" w:rsidRPr="00043375" w14:paraId="7CF83714" w14:textId="77777777" w:rsidTr="00F561C1">
        <w:trPr>
          <w:trHeight w:val="1060"/>
        </w:trPr>
        <w:tc>
          <w:tcPr>
            <w:tcW w:w="6629" w:type="dxa"/>
            <w:tcBorders>
              <w:top w:val="single" w:sz="4" w:space="0" w:color="auto"/>
              <w:left w:val="single" w:sz="4" w:space="0" w:color="auto"/>
              <w:bottom w:val="single" w:sz="4" w:space="0" w:color="auto"/>
              <w:right w:val="single" w:sz="4" w:space="0" w:color="auto"/>
            </w:tcBorders>
          </w:tcPr>
          <w:p w14:paraId="522B14BC" w14:textId="77777777" w:rsidR="00AD7C05" w:rsidRPr="007074C4" w:rsidRDefault="00AD7C05" w:rsidP="00AD7C05">
            <w:pPr>
              <w:pStyle w:val="ListParagraph"/>
              <w:numPr>
                <w:ilvl w:val="0"/>
                <w:numId w:val="18"/>
              </w:numPr>
              <w:tabs>
                <w:tab w:val="left" w:pos="426"/>
                <w:tab w:val="left" w:pos="720"/>
              </w:tabs>
              <w:spacing w:after="160" w:line="252" w:lineRule="auto"/>
              <w:rPr>
                <w:rFonts w:cs="Arial"/>
              </w:rPr>
            </w:pPr>
            <w:r w:rsidRPr="66BCBA20">
              <w:rPr>
                <w:rFonts w:cs="Arial"/>
              </w:rPr>
              <w:t>That the environmental and equality impacts of AI use be considered as a core component of the full review of the Citizen Experience Strategy in 2027, adding dedicated sections addressing the implications of AI in both areas within the strategy.</w:t>
            </w:r>
          </w:p>
        </w:tc>
        <w:tc>
          <w:tcPr>
            <w:tcW w:w="1134" w:type="dxa"/>
            <w:tcBorders>
              <w:top w:val="single" w:sz="4" w:space="0" w:color="auto"/>
              <w:left w:val="single" w:sz="4" w:space="0" w:color="auto"/>
              <w:bottom w:val="single" w:sz="4" w:space="0" w:color="auto"/>
              <w:right w:val="single" w:sz="4" w:space="0" w:color="auto"/>
            </w:tcBorders>
          </w:tcPr>
          <w:p w14:paraId="59C760F3" w14:textId="30C9A604" w:rsidR="00AD7C05" w:rsidRPr="007074C4" w:rsidRDefault="00AD7C05" w:rsidP="00AD7C05">
            <w:r>
              <w:t>No</w:t>
            </w:r>
          </w:p>
        </w:tc>
        <w:tc>
          <w:tcPr>
            <w:tcW w:w="6520" w:type="dxa"/>
            <w:tcBorders>
              <w:top w:val="single" w:sz="4" w:space="0" w:color="auto"/>
              <w:left w:val="single" w:sz="4" w:space="0" w:color="auto"/>
              <w:bottom w:val="single" w:sz="4" w:space="0" w:color="auto"/>
              <w:right w:val="single" w:sz="4" w:space="0" w:color="auto"/>
            </w:tcBorders>
          </w:tcPr>
          <w:p w14:paraId="50DF3AF8" w14:textId="42F2AD5D" w:rsidR="00AD7C05" w:rsidRPr="007074C4" w:rsidRDefault="00AD7C05" w:rsidP="00AD7C05">
            <w:r w:rsidRPr="00C54042">
              <w:rPr>
                <w:rFonts w:eastAsia="Aptos" w:cs="Arial"/>
                <w:color w:val="000000" w:themeColor="text1"/>
              </w:rPr>
              <w:t xml:space="preserve">We will ensure that the Council's future AI Strategy – which is currently being worked on - incorporates an assessment of the environmental and equality impacts. This is the right place for this work, rather than the full review of the Citizen Experience Strategy, which is at least two years away. </w:t>
            </w:r>
          </w:p>
        </w:tc>
      </w:tr>
      <w:tr w:rsidR="00AD7C05" w:rsidRPr="00043375" w14:paraId="265CBB9E" w14:textId="77777777" w:rsidTr="00F561C1">
        <w:trPr>
          <w:trHeight w:val="1060"/>
        </w:trPr>
        <w:tc>
          <w:tcPr>
            <w:tcW w:w="6629" w:type="dxa"/>
            <w:tcBorders>
              <w:top w:val="single" w:sz="4" w:space="0" w:color="auto"/>
              <w:left w:val="single" w:sz="4" w:space="0" w:color="auto"/>
              <w:bottom w:val="single" w:sz="4" w:space="0" w:color="auto"/>
              <w:right w:val="single" w:sz="4" w:space="0" w:color="auto"/>
            </w:tcBorders>
          </w:tcPr>
          <w:p w14:paraId="5965EE07" w14:textId="77777777" w:rsidR="00AD7C05" w:rsidRPr="007074C4" w:rsidRDefault="00AD7C05" w:rsidP="00AD7C05">
            <w:pPr>
              <w:pStyle w:val="ListParagraph"/>
              <w:numPr>
                <w:ilvl w:val="0"/>
                <w:numId w:val="18"/>
              </w:numPr>
              <w:tabs>
                <w:tab w:val="left" w:pos="426"/>
                <w:tab w:val="left" w:pos="720"/>
              </w:tabs>
              <w:spacing w:after="160" w:line="252" w:lineRule="auto"/>
              <w:rPr>
                <w:rFonts w:cs="Arial"/>
              </w:rPr>
            </w:pPr>
            <w:r w:rsidRPr="66BCBA20">
              <w:rPr>
                <w:rFonts w:cs="Arial"/>
              </w:rPr>
              <w:t xml:space="preserve">That proactive efforts be made to consult children under 12, in recognition of the city’s commitment to becoming an age and children friendly city. </w:t>
            </w:r>
          </w:p>
        </w:tc>
        <w:tc>
          <w:tcPr>
            <w:tcW w:w="1134" w:type="dxa"/>
            <w:tcBorders>
              <w:top w:val="single" w:sz="4" w:space="0" w:color="auto"/>
              <w:left w:val="single" w:sz="4" w:space="0" w:color="auto"/>
              <w:bottom w:val="single" w:sz="4" w:space="0" w:color="auto"/>
              <w:right w:val="single" w:sz="4" w:space="0" w:color="auto"/>
            </w:tcBorders>
          </w:tcPr>
          <w:p w14:paraId="366974CF" w14:textId="72F18E51" w:rsidR="00AD7C05" w:rsidRPr="007074C4" w:rsidRDefault="00AD7C05" w:rsidP="00AD7C05">
            <w:r>
              <w:t>Yes</w:t>
            </w:r>
          </w:p>
        </w:tc>
        <w:tc>
          <w:tcPr>
            <w:tcW w:w="6520" w:type="dxa"/>
            <w:tcBorders>
              <w:top w:val="single" w:sz="4" w:space="0" w:color="auto"/>
              <w:left w:val="single" w:sz="4" w:space="0" w:color="auto"/>
              <w:bottom w:val="single" w:sz="4" w:space="0" w:color="auto"/>
              <w:right w:val="single" w:sz="4" w:space="0" w:color="auto"/>
            </w:tcBorders>
          </w:tcPr>
          <w:p w14:paraId="06B3031E" w14:textId="37EDA8D8" w:rsidR="00AD7C05" w:rsidRPr="007074C4" w:rsidRDefault="00AD7C05" w:rsidP="00AD7C05">
            <w:r w:rsidRPr="00C54042">
              <w:rPr>
                <w:rFonts w:eastAsia="Aptos" w:cs="Arial"/>
                <w:color w:val="000000" w:themeColor="text1"/>
              </w:rPr>
              <w:t>This is best included in the Council's Citizen and Community Engagement Policy, scheduled for Cabinet in September 2025.</w:t>
            </w:r>
          </w:p>
        </w:tc>
      </w:tr>
    </w:tbl>
    <w:p w14:paraId="5627DE89" w14:textId="77777777" w:rsidR="00F61F6D" w:rsidRPr="00422FED" w:rsidRDefault="00F61F6D" w:rsidP="00794A9A">
      <w:pPr>
        <w:ind w:left="-142"/>
        <w:rPr>
          <w:b/>
          <w:bCs/>
        </w:rPr>
      </w:pPr>
    </w:p>
    <w:p w14:paraId="238F9E4F" w14:textId="77777777" w:rsidR="00F61F6D" w:rsidRPr="00422FED" w:rsidRDefault="00F61F6D" w:rsidP="00794A9A">
      <w:pPr>
        <w:ind w:left="-142"/>
        <w:rPr>
          <w:b/>
          <w:bCs/>
        </w:rPr>
      </w:pPr>
    </w:p>
    <w:sectPr w:rsidR="00F61F6D" w:rsidRPr="00422FED" w:rsidSect="002555DC">
      <w:headerReference w:type="first" r:id="rId11"/>
      <w:pgSz w:w="16838" w:h="11906" w:orient="landscape"/>
      <w:pgMar w:top="1135"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E70A" w14:textId="77777777" w:rsidR="00AC3F80" w:rsidRDefault="00AC3F80" w:rsidP="00ED25C2">
      <w:r>
        <w:separator/>
      </w:r>
    </w:p>
  </w:endnote>
  <w:endnote w:type="continuationSeparator" w:id="0">
    <w:p w14:paraId="146A94E5" w14:textId="77777777" w:rsidR="00AC3F80" w:rsidRDefault="00AC3F80" w:rsidP="00ED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1DFC" w14:textId="77777777" w:rsidR="00AC3F80" w:rsidRDefault="00AC3F80" w:rsidP="00ED25C2">
      <w:r>
        <w:separator/>
      </w:r>
    </w:p>
  </w:footnote>
  <w:footnote w:type="continuationSeparator" w:id="0">
    <w:p w14:paraId="578194C9" w14:textId="77777777" w:rsidR="00AC3F80" w:rsidRDefault="00AC3F80" w:rsidP="00ED2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CA13" w14:textId="4FE029D5" w:rsidR="00ED25C2" w:rsidRPr="00ED25C2" w:rsidRDefault="00ED25C2" w:rsidP="00ED25C2">
    <w:pPr>
      <w:pStyle w:val="Header"/>
      <w:rPr>
        <w:b/>
        <w:bCs/>
      </w:rPr>
    </w:pPr>
    <w:r w:rsidRPr="00ED25C2">
      <w:rPr>
        <w:b/>
        <w:bCs/>
      </w:rPr>
      <w:t xml:space="preserve">Appendix </w:t>
    </w:r>
    <w:r w:rsidR="00F00139">
      <w:rPr>
        <w:b/>
        <w:bCs/>
      </w:rPr>
      <w:t>1</w:t>
    </w:r>
    <w:r w:rsidR="00C162D5">
      <w:rPr>
        <w:b/>
        <w:bCs/>
      </w:rPr>
      <w:t>:</w:t>
    </w:r>
    <w:r w:rsidRPr="00ED25C2">
      <w:rPr>
        <w:b/>
        <w:bCs/>
      </w:rPr>
      <w:t xml:space="preserve"> Scrutiny Recommendations and Cabinet Responses</w:t>
    </w:r>
  </w:p>
  <w:p w14:paraId="0F9001E2" w14:textId="77777777" w:rsidR="00ED25C2" w:rsidRDefault="00ED2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281"/>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8282124"/>
    <w:multiLevelType w:val="hybridMultilevel"/>
    <w:tmpl w:val="9EF809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C2E15"/>
    <w:multiLevelType w:val="hybridMultilevel"/>
    <w:tmpl w:val="3AA07A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991D33"/>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29E56B45"/>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CCD6DFD"/>
    <w:multiLevelType w:val="hybridMultilevel"/>
    <w:tmpl w:val="83B4252A"/>
    <w:lvl w:ilvl="0" w:tplc="A69ACBAE">
      <w:start w:val="1"/>
      <w:numFmt w:val="decimal"/>
      <w:lvlText w:val="%1)"/>
      <w:lvlJc w:val="left"/>
      <w:pPr>
        <w:ind w:left="720" w:hanging="360"/>
      </w:pPr>
      <w:rPr>
        <w:rFonts w:cs="Arial"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AA0F4A"/>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53151AD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56AE10C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5DF667AE"/>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6C3A36BC"/>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7304372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7BE37F0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7F205616"/>
    <w:multiLevelType w:val="hybridMultilevel"/>
    <w:tmpl w:val="6FAC9D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2085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33486">
    <w:abstractNumId w:val="7"/>
  </w:num>
  <w:num w:numId="3" w16cid:durableId="736900026">
    <w:abstractNumId w:val="11"/>
  </w:num>
  <w:num w:numId="4" w16cid:durableId="1216502987">
    <w:abstractNumId w:val="12"/>
  </w:num>
  <w:num w:numId="5" w16cid:durableId="584800026">
    <w:abstractNumId w:val="14"/>
  </w:num>
  <w:num w:numId="6" w16cid:durableId="1121415999">
    <w:abstractNumId w:val="10"/>
  </w:num>
  <w:num w:numId="7" w16cid:durableId="1470513496">
    <w:abstractNumId w:val="0"/>
  </w:num>
  <w:num w:numId="8" w16cid:durableId="2057771321">
    <w:abstractNumId w:val="13"/>
  </w:num>
  <w:num w:numId="9" w16cid:durableId="383680302">
    <w:abstractNumId w:val="5"/>
  </w:num>
  <w:num w:numId="10" w16cid:durableId="548148850">
    <w:abstractNumId w:val="1"/>
  </w:num>
  <w:num w:numId="11" w16cid:durableId="681710983">
    <w:abstractNumId w:val="2"/>
  </w:num>
  <w:num w:numId="12" w16cid:durableId="368072600">
    <w:abstractNumId w:val="16"/>
  </w:num>
  <w:num w:numId="13" w16cid:durableId="166750822">
    <w:abstractNumId w:val="4"/>
  </w:num>
  <w:num w:numId="14" w16cid:durableId="1119953744">
    <w:abstractNumId w:val="6"/>
  </w:num>
  <w:num w:numId="15" w16cid:durableId="58746823">
    <w:abstractNumId w:val="8"/>
  </w:num>
  <w:num w:numId="16" w16cid:durableId="1474375151">
    <w:abstractNumId w:val="9"/>
  </w:num>
  <w:num w:numId="17" w16cid:durableId="1854759081">
    <w:abstractNumId w:val="3"/>
  </w:num>
  <w:num w:numId="18" w16cid:durableId="323244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7B51"/>
    <w:rsid w:val="00056040"/>
    <w:rsid w:val="000B4310"/>
    <w:rsid w:val="000F3AE1"/>
    <w:rsid w:val="00101942"/>
    <w:rsid w:val="001308F0"/>
    <w:rsid w:val="001C3673"/>
    <w:rsid w:val="0021177B"/>
    <w:rsid w:val="002139C0"/>
    <w:rsid w:val="002555DC"/>
    <w:rsid w:val="002F0648"/>
    <w:rsid w:val="003E7B58"/>
    <w:rsid w:val="004000D7"/>
    <w:rsid w:val="0041511D"/>
    <w:rsid w:val="00422FED"/>
    <w:rsid w:val="004453C2"/>
    <w:rsid w:val="004D773D"/>
    <w:rsid w:val="004E30E0"/>
    <w:rsid w:val="004F04AB"/>
    <w:rsid w:val="00504E43"/>
    <w:rsid w:val="005206D5"/>
    <w:rsid w:val="00524836"/>
    <w:rsid w:val="00567128"/>
    <w:rsid w:val="00567F48"/>
    <w:rsid w:val="00585680"/>
    <w:rsid w:val="00594362"/>
    <w:rsid w:val="005C39EB"/>
    <w:rsid w:val="005D6B6B"/>
    <w:rsid w:val="005F17FD"/>
    <w:rsid w:val="005F331F"/>
    <w:rsid w:val="0062652E"/>
    <w:rsid w:val="006E40D6"/>
    <w:rsid w:val="006E4DE5"/>
    <w:rsid w:val="007549EF"/>
    <w:rsid w:val="007908F4"/>
    <w:rsid w:val="00794A9A"/>
    <w:rsid w:val="007E067D"/>
    <w:rsid w:val="00806638"/>
    <w:rsid w:val="008A22C6"/>
    <w:rsid w:val="008B4D0C"/>
    <w:rsid w:val="008E317F"/>
    <w:rsid w:val="00930989"/>
    <w:rsid w:val="00954D5E"/>
    <w:rsid w:val="009B2118"/>
    <w:rsid w:val="009D5ABC"/>
    <w:rsid w:val="009E3E8E"/>
    <w:rsid w:val="00A14033"/>
    <w:rsid w:val="00A724DB"/>
    <w:rsid w:val="00A93727"/>
    <w:rsid w:val="00AA2ADA"/>
    <w:rsid w:val="00AB06F4"/>
    <w:rsid w:val="00AC3F80"/>
    <w:rsid w:val="00AC5D08"/>
    <w:rsid w:val="00AD7C05"/>
    <w:rsid w:val="00AE5B56"/>
    <w:rsid w:val="00AF5909"/>
    <w:rsid w:val="00B00F48"/>
    <w:rsid w:val="00B85C09"/>
    <w:rsid w:val="00BB2515"/>
    <w:rsid w:val="00BD076B"/>
    <w:rsid w:val="00BF5C52"/>
    <w:rsid w:val="00C07F80"/>
    <w:rsid w:val="00C162D5"/>
    <w:rsid w:val="00C36CDF"/>
    <w:rsid w:val="00C43052"/>
    <w:rsid w:val="00C76D86"/>
    <w:rsid w:val="00C84F77"/>
    <w:rsid w:val="00C87AF4"/>
    <w:rsid w:val="00C91225"/>
    <w:rsid w:val="00D15131"/>
    <w:rsid w:val="00DB356A"/>
    <w:rsid w:val="00DF055C"/>
    <w:rsid w:val="00DF34D4"/>
    <w:rsid w:val="00E17B51"/>
    <w:rsid w:val="00E86D5A"/>
    <w:rsid w:val="00EA10FC"/>
    <w:rsid w:val="00EA62CA"/>
    <w:rsid w:val="00EA6881"/>
    <w:rsid w:val="00ED25C2"/>
    <w:rsid w:val="00F00139"/>
    <w:rsid w:val="00F153ED"/>
    <w:rsid w:val="00F561C1"/>
    <w:rsid w:val="00F61F6D"/>
    <w:rsid w:val="00FA2227"/>
    <w:rsid w:val="00FB3BF2"/>
    <w:rsid w:val="00FB4122"/>
    <w:rsid w:val="00FD0CA6"/>
    <w:rsid w:val="00FD3A85"/>
    <w:rsid w:val="00FE1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0F65"/>
  <w15:chartTrackingRefBased/>
  <w15:docId w15:val="{20555044-588E-40AD-9400-F8D93B8F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040"/>
    <w:pPr>
      <w:spacing w:after="120"/>
    </w:pPr>
    <w:rPr>
      <w:rFonts w:eastAsia="Times New Roman" w:cs="Times New Roman"/>
      <w:color w:val="000000"/>
      <w:kern w:val="0"/>
      <w:lang w:eastAsia="en-GB"/>
      <w14:ligatures w14:val="none"/>
    </w:rPr>
  </w:style>
  <w:style w:type="paragraph" w:styleId="Heading1">
    <w:name w:val="heading 1"/>
    <w:basedOn w:val="Normal"/>
    <w:next w:val="Normal"/>
    <w:link w:val="Heading1Char"/>
    <w:uiPriority w:val="9"/>
    <w:qFormat/>
    <w:rsid w:val="00E17B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7B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7B5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7B5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7B5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17B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7B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7B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7B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B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7B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7B5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7B5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17B5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17B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7B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7B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7B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7B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B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B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7B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7B51"/>
    <w:rPr>
      <w:i/>
      <w:iCs/>
      <w:color w:val="404040" w:themeColor="text1" w:themeTint="BF"/>
    </w:rPr>
  </w:style>
  <w:style w:type="paragraph" w:styleId="ListParagraph">
    <w:name w:val="List Paragraph"/>
    <w:basedOn w:val="Normal"/>
    <w:link w:val="ListParagraphChar"/>
    <w:uiPriority w:val="34"/>
    <w:qFormat/>
    <w:rsid w:val="00E17B51"/>
    <w:pPr>
      <w:ind w:left="720"/>
      <w:contextualSpacing/>
    </w:pPr>
  </w:style>
  <w:style w:type="character" w:styleId="IntenseEmphasis">
    <w:name w:val="Intense Emphasis"/>
    <w:basedOn w:val="DefaultParagraphFont"/>
    <w:uiPriority w:val="21"/>
    <w:qFormat/>
    <w:rsid w:val="00E17B51"/>
    <w:rPr>
      <w:i/>
      <w:iCs/>
      <w:color w:val="365F91" w:themeColor="accent1" w:themeShade="BF"/>
    </w:rPr>
  </w:style>
  <w:style w:type="paragraph" w:styleId="IntenseQuote">
    <w:name w:val="Intense Quote"/>
    <w:basedOn w:val="Normal"/>
    <w:next w:val="Normal"/>
    <w:link w:val="IntenseQuoteChar"/>
    <w:uiPriority w:val="30"/>
    <w:qFormat/>
    <w:rsid w:val="00E17B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7B51"/>
    <w:rPr>
      <w:i/>
      <w:iCs/>
      <w:color w:val="365F91" w:themeColor="accent1" w:themeShade="BF"/>
    </w:rPr>
  </w:style>
  <w:style w:type="character" w:styleId="IntenseReference">
    <w:name w:val="Intense Reference"/>
    <w:basedOn w:val="DefaultParagraphFont"/>
    <w:uiPriority w:val="32"/>
    <w:qFormat/>
    <w:rsid w:val="00E17B51"/>
    <w:rPr>
      <w:b/>
      <w:bCs/>
      <w:smallCaps/>
      <w:color w:val="365F91" w:themeColor="accent1" w:themeShade="BF"/>
      <w:spacing w:val="5"/>
    </w:rPr>
  </w:style>
  <w:style w:type="paragraph" w:styleId="Header">
    <w:name w:val="header"/>
    <w:basedOn w:val="Normal"/>
    <w:link w:val="HeaderChar"/>
    <w:uiPriority w:val="99"/>
    <w:unhideWhenUsed/>
    <w:rsid w:val="00ED25C2"/>
    <w:pPr>
      <w:tabs>
        <w:tab w:val="center" w:pos="4513"/>
        <w:tab w:val="right" w:pos="9026"/>
      </w:tabs>
    </w:pPr>
  </w:style>
  <w:style w:type="character" w:customStyle="1" w:styleId="HeaderChar">
    <w:name w:val="Header Char"/>
    <w:basedOn w:val="DefaultParagraphFont"/>
    <w:link w:val="Header"/>
    <w:uiPriority w:val="99"/>
    <w:rsid w:val="00ED25C2"/>
  </w:style>
  <w:style w:type="paragraph" w:styleId="Footer">
    <w:name w:val="footer"/>
    <w:basedOn w:val="Normal"/>
    <w:link w:val="FooterChar"/>
    <w:uiPriority w:val="99"/>
    <w:unhideWhenUsed/>
    <w:rsid w:val="00ED25C2"/>
    <w:pPr>
      <w:tabs>
        <w:tab w:val="center" w:pos="4513"/>
        <w:tab w:val="right" w:pos="9026"/>
      </w:tabs>
    </w:pPr>
  </w:style>
  <w:style w:type="character" w:customStyle="1" w:styleId="FooterChar">
    <w:name w:val="Footer Char"/>
    <w:basedOn w:val="DefaultParagraphFont"/>
    <w:link w:val="Footer"/>
    <w:uiPriority w:val="99"/>
    <w:rsid w:val="00ED25C2"/>
  </w:style>
  <w:style w:type="character" w:customStyle="1" w:styleId="ListParagraphChar">
    <w:name w:val="List Paragraph Char"/>
    <w:link w:val="ListParagraph"/>
    <w:uiPriority w:val="34"/>
    <w:rsid w:val="005C39EB"/>
  </w:style>
  <w:style w:type="character" w:styleId="Hyperlink">
    <w:name w:val="Hyperlink"/>
    <w:aliases w:val="set Hyperlink"/>
    <w:uiPriority w:val="99"/>
    <w:qFormat/>
    <w:rsid w:val="00594362"/>
    <w:rPr>
      <w:rFonts w:ascii="Arial" w:hAnsi="Arial"/>
      <w:color w:val="0000FF"/>
      <w:sz w:val="24"/>
      <w:u w:val="single"/>
    </w:rPr>
  </w:style>
  <w:style w:type="table" w:styleId="TableGrid">
    <w:name w:val="Table Grid"/>
    <w:basedOn w:val="TableNormal"/>
    <w:uiPriority w:val="59"/>
    <w:rsid w:val="00EA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C3673"/>
    <w:rPr>
      <w:sz w:val="16"/>
      <w:szCs w:val="16"/>
    </w:rPr>
  </w:style>
  <w:style w:type="paragraph" w:styleId="CommentText">
    <w:name w:val="annotation text"/>
    <w:basedOn w:val="Normal"/>
    <w:link w:val="CommentTextChar"/>
    <w:semiHidden/>
    <w:rsid w:val="001C3673"/>
    <w:rPr>
      <w:sz w:val="20"/>
      <w:szCs w:val="20"/>
    </w:rPr>
  </w:style>
  <w:style w:type="character" w:customStyle="1" w:styleId="CommentTextChar">
    <w:name w:val="Comment Text Char"/>
    <w:basedOn w:val="DefaultParagraphFont"/>
    <w:link w:val="CommentText"/>
    <w:semiHidden/>
    <w:rsid w:val="001C3673"/>
    <w:rPr>
      <w:rFonts w:eastAsia="Times New Roman" w:cs="Times New Roman"/>
      <w:color w:val="000000"/>
      <w:kern w:val="0"/>
      <w:sz w:val="20"/>
      <w:szCs w:val="20"/>
      <w:lang w:eastAsia="en-GB"/>
      <w14:ligatures w14:val="none"/>
    </w:rPr>
  </w:style>
  <w:style w:type="character" w:styleId="Mention">
    <w:name w:val="Mention"/>
    <w:basedOn w:val="DefaultParagraphFont"/>
    <w:uiPriority w:val="99"/>
    <w:unhideWhenUsed/>
    <w:rsid w:val="001C367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8585">
      <w:bodyDiv w:val="1"/>
      <w:marLeft w:val="0"/>
      <w:marRight w:val="0"/>
      <w:marTop w:val="0"/>
      <w:marBottom w:val="0"/>
      <w:divBdr>
        <w:top w:val="none" w:sz="0" w:space="0" w:color="auto"/>
        <w:left w:val="none" w:sz="0" w:space="0" w:color="auto"/>
        <w:bottom w:val="none" w:sz="0" w:space="0" w:color="auto"/>
        <w:right w:val="none" w:sz="0" w:space="0" w:color="auto"/>
      </w:divBdr>
    </w:div>
    <w:div w:id="1188058190">
      <w:bodyDiv w:val="1"/>
      <w:marLeft w:val="0"/>
      <w:marRight w:val="0"/>
      <w:marTop w:val="0"/>
      <w:marBottom w:val="0"/>
      <w:divBdr>
        <w:top w:val="none" w:sz="0" w:space="0" w:color="auto"/>
        <w:left w:val="none" w:sz="0" w:space="0" w:color="auto"/>
        <w:bottom w:val="none" w:sz="0" w:space="0" w:color="auto"/>
        <w:right w:val="none" w:sz="0" w:space="0" w:color="auto"/>
      </w:divBdr>
    </w:div>
    <w:div w:id="1439642695">
      <w:bodyDiv w:val="1"/>
      <w:marLeft w:val="0"/>
      <w:marRight w:val="0"/>
      <w:marTop w:val="0"/>
      <w:marBottom w:val="0"/>
      <w:divBdr>
        <w:top w:val="none" w:sz="0" w:space="0" w:color="auto"/>
        <w:left w:val="none" w:sz="0" w:space="0" w:color="auto"/>
        <w:bottom w:val="none" w:sz="0" w:space="0" w:color="auto"/>
        <w:right w:val="none" w:sz="0" w:space="0" w:color="auto"/>
      </w:divBdr>
    </w:div>
    <w:div w:id="1904289947">
      <w:bodyDiv w:val="1"/>
      <w:marLeft w:val="0"/>
      <w:marRight w:val="0"/>
      <w:marTop w:val="0"/>
      <w:marBottom w:val="0"/>
      <w:divBdr>
        <w:top w:val="none" w:sz="0" w:space="0" w:color="auto"/>
        <w:left w:val="none" w:sz="0" w:space="0" w:color="auto"/>
        <w:bottom w:val="none" w:sz="0" w:space="0" w:color="auto"/>
        <w:right w:val="none" w:sz="0" w:space="0" w:color="auto"/>
      </w:divBdr>
    </w:div>
    <w:div w:id="199833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serco.com%2Fsupplier-code-of-conduct&amp;data=05%7C02%7Cjbaughan%40oxford.gov.uk%7Ce3a212254478486391bb08ddaa478ecd%7C9f3d0f395e2b4f889d43e9344f9aa02d%7C0%7C0%7C638853946516291084%7CUnknown%7CTWFpbGZsb3d8eyJFbXB0eU1hcGkiOnRydWUsIlYiOiIwLjAuMDAwMCIsIlAiOiJXaW4zMiIsIkFOIjoiTWFpbCIsIldUIjoyfQ%3D%3D%7C0%7C%7C%7C&amp;sdata=ehomBFGozEZ88CwfY4gGtbKHeeGi2UqhVLNGaNncVC0%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01.safelinks.protection.outlook.com/?url=https%3A%2F%2Fwww.serco.com%2Fmycode%2Flooking-after%2Fhuman-rights&amp;data=05%7C02%7Cjbaughan%40oxford.gov.uk%7Ce3a212254478486391bb08ddaa478ecd%7C9f3d0f395e2b4f889d43e9344f9aa02d%7C0%7C0%7C638853946516321943%7CUnknown%7CTWFpbGZsb3d8eyJFbXB0eU1hcGkiOnRydWUsIlYiOiIwLjAuMDAwMCIsIlAiOiJXaW4zMiIsIkFOIjoiTWFpbCIsIldUIjoyfQ%3D%3D%7C0%7C%7C%7C&amp;sdata=M7CRI8prlI5yqxHdc9KiV7By%2BHDNsThVAf%2FW3V6OqbI%3D&amp;reserved=0"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www.serco.com%2Fmedia%2F6797%2Fserco-sustainable-procurement-charter.pdf&amp;data=05%7C02%7Cjbaughan%40oxford.gov.uk%7Ce3a212254478486391bb08ddaa478ecd%7C9f3d0f395e2b4f889d43e9344f9aa02d%7C0%7C0%7C638853946516306489%7CUnknown%7CTWFpbGZsb3d8eyJFbXB0eU1hcGkiOnRydWUsIlYiOiIwLjAuMDAwMCIsIlAiOiJXaW4zMiIsIkFOIjoiTWFpbCIsIldUIjoyfQ%3D%3D%7C0%7C%7C%7C&amp;sdata=4TOerKdfAVTiNLv8jFAXTikPRbXZE5AO75VDeF17NI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2889</Words>
  <Characters>13872</Characters>
  <Application>Microsoft Office Word</Application>
  <DocSecurity>0</DocSecurity>
  <Lines>277</Lines>
  <Paragraphs>63</Paragraphs>
  <ScaleCrop>false</ScaleCrop>
  <Company>Oxford City Council</Company>
  <LinksUpToDate>false</LinksUpToDate>
  <CharactersWithSpaces>16698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REYESLAO Celeste</dc:creator>
  <cp:keywords/>
  <dc:description/>
  <cp:lastModifiedBy>MALTON Jonathan</cp:lastModifiedBy>
  <cp:revision>69</cp:revision>
  <dcterms:created xsi:type="dcterms:W3CDTF">2025-06-18T11:22:00Z</dcterms:created>
  <dcterms:modified xsi:type="dcterms:W3CDTF">2025-07-09T09:44:00Z</dcterms:modified>
</cp:coreProperties>
</file>